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 xml:space="preserve">MIEMBROS DEL HONORABLE AYUNTAMIENTO </w:t>
      </w: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DE ZAPOTLÁN EL GRANDE, JALISCO.</w:t>
      </w: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P R E S E N T E.</w:t>
      </w:r>
    </w:p>
    <w:p w:rsidR="00120BC3" w:rsidRPr="00F25B37" w:rsidRDefault="00120BC3" w:rsidP="00120BC3">
      <w:pPr>
        <w:spacing w:line="276" w:lineRule="auto"/>
        <w:ind w:firstLine="708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F2DFC" w:rsidRPr="00F25B37" w:rsidRDefault="001F2DFC" w:rsidP="003F110B">
      <w:pPr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AB6FAA" w:rsidRPr="00F25B37" w:rsidRDefault="00120BC3" w:rsidP="00B501DB">
      <w:pPr>
        <w:ind w:firstLine="708"/>
        <w:jc w:val="both"/>
        <w:rPr>
          <w:rFonts w:ascii="Verdana" w:hAnsi="Verdana" w:cstheme="minorHAnsi"/>
          <w:bCs/>
          <w:sz w:val="22"/>
          <w:szCs w:val="22"/>
          <w:lang w:val="es-MX"/>
        </w:rPr>
      </w:pPr>
      <w:r w:rsidRPr="0080737A">
        <w:rPr>
          <w:rFonts w:ascii="Verdana" w:hAnsi="Verdana" w:cs="Tahoma"/>
          <w:b/>
          <w:sz w:val="22"/>
          <w:szCs w:val="22"/>
          <w:lang w:val="es-MX"/>
        </w:rPr>
        <w:t xml:space="preserve">MTRO. NOÉ SAÚL RAMOS GARCÍA, </w:t>
      </w:r>
      <w:r w:rsidRPr="0080737A">
        <w:rPr>
          <w:rFonts w:ascii="Verdana" w:hAnsi="Verdana" w:cs="Tahoma"/>
          <w:sz w:val="22"/>
          <w:szCs w:val="22"/>
          <w:lang w:val="es-MX"/>
        </w:rPr>
        <w:t>en mi calidad de Regidor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Pr="0080737A">
        <w:rPr>
          <w:rFonts w:ascii="Verdana" w:hAnsi="Verdana" w:cs="Tahoma"/>
          <w:sz w:val="22"/>
          <w:szCs w:val="22"/>
          <w:lang w:val="es-MX"/>
        </w:rPr>
        <w:t xml:space="preserve">10, 41 fracción II, 42, 49, 50 fracción I 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y demás relativos </w:t>
      </w:r>
      <w:r w:rsidRPr="0080737A">
        <w:rPr>
          <w:rFonts w:ascii="Verdana" w:hAnsi="Verdana" w:cs="Tahoma"/>
          <w:sz w:val="22"/>
          <w:szCs w:val="22"/>
          <w:lang w:val="es-MX"/>
        </w:rPr>
        <w:t>de La Ley del Gobierno y la Administración Pública Municipal del Estado de Jalisco, así como los  artículos 38 fracción XXI,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Pr="0080737A">
        <w:rPr>
          <w:rFonts w:ascii="Verdana" w:hAnsi="Verdana" w:cs="Tahoma"/>
          <w:sz w:val="22"/>
          <w:szCs w:val="22"/>
          <w:lang w:val="es-MX"/>
        </w:rPr>
        <w:t>87 fracción II,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3F110B" w:rsidRPr="0080737A">
        <w:rPr>
          <w:rFonts w:ascii="Verdana" w:hAnsi="Verdana" w:cs="Tahoma"/>
          <w:sz w:val="22"/>
          <w:szCs w:val="22"/>
          <w:lang w:val="es-MX"/>
        </w:rPr>
        <w:t>89,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93, </w:t>
      </w:r>
      <w:r w:rsidRPr="0080737A">
        <w:rPr>
          <w:rFonts w:ascii="Verdana" w:hAnsi="Verdana" w:cs="Tahoma"/>
          <w:sz w:val="22"/>
          <w:szCs w:val="22"/>
          <w:lang w:val="es-MX"/>
        </w:rPr>
        <w:t>99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,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 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100</w:t>
      </w:r>
      <w:r w:rsidRPr="0080737A">
        <w:rPr>
          <w:rFonts w:ascii="Verdana" w:hAnsi="Verdana" w:cs="Tahoma"/>
          <w:sz w:val="22"/>
          <w:szCs w:val="22"/>
          <w:lang w:val="es-MX"/>
        </w:rPr>
        <w:t xml:space="preserve"> y demás relativos del Reglamento Interior de Zapotlán el Grande, Jalisco</w:t>
      </w:r>
      <w:r w:rsidRPr="00F25B37">
        <w:rPr>
          <w:rFonts w:ascii="Verdana" w:hAnsi="Verdana" w:cs="Tahoma"/>
          <w:sz w:val="22"/>
          <w:szCs w:val="22"/>
          <w:lang w:val="es-MX"/>
        </w:rPr>
        <w:t xml:space="preserve">; en uso de la facultad conferida en las disposiciones citadas, presento ante ustedes compañeros integrantes de este Órgano de Gobierno Municipal </w:t>
      </w:r>
      <w:r w:rsidR="00AB6FAA" w:rsidRPr="00F25B37">
        <w:rPr>
          <w:rFonts w:ascii="Verdana" w:hAnsi="Verdana" w:cs="Tahoma"/>
          <w:sz w:val="22"/>
          <w:szCs w:val="22"/>
          <w:lang w:val="es-MX"/>
        </w:rPr>
        <w:t>la siguiente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AB6FAA" w:rsidRPr="00F25B37">
        <w:rPr>
          <w:rFonts w:ascii="Verdana" w:hAnsi="Verdana" w:cstheme="minorHAnsi"/>
          <w:b/>
          <w:sz w:val="22"/>
          <w:szCs w:val="22"/>
          <w:lang w:val="es-MX"/>
        </w:rPr>
        <w:t xml:space="preserve">INICIATIVA DE ORDENAMIENTO QUE </w:t>
      </w:r>
      <w:r w:rsidR="003F110B" w:rsidRPr="00F25B37">
        <w:rPr>
          <w:rFonts w:ascii="Verdana" w:hAnsi="Verdana" w:cstheme="minorHAnsi"/>
          <w:b/>
          <w:sz w:val="22"/>
          <w:szCs w:val="22"/>
          <w:lang w:val="es-MX"/>
        </w:rPr>
        <w:t>REFORMA</w:t>
      </w:r>
      <w:r w:rsidR="00AB6FAA" w:rsidRPr="00F25B37">
        <w:rPr>
          <w:rFonts w:ascii="Verdana" w:hAnsi="Verdana" w:cstheme="minorHAnsi"/>
          <w:b/>
          <w:sz w:val="22"/>
          <w:szCs w:val="22"/>
          <w:lang w:val="es-MX"/>
        </w:rPr>
        <w:t xml:space="preserve"> EL </w:t>
      </w:r>
      <w:r w:rsidR="003F110B" w:rsidRPr="00F25B37">
        <w:rPr>
          <w:rFonts w:ascii="Verdana" w:hAnsi="Verdana" w:cstheme="minorHAnsi"/>
          <w:b/>
          <w:sz w:val="22"/>
          <w:szCs w:val="22"/>
          <w:lang w:val="es-MX"/>
        </w:rPr>
        <w:t xml:space="preserve">ARTÍCULO 21 EN SU PUNTO 4 DEL REGLAMENTO INTERIOR DEL AYUNTAMIENTO DE ZAPOTLÁN EL GRANDE, JALISCO </w:t>
      </w:r>
      <w:r w:rsidR="00AB6FAA" w:rsidRPr="00F25B37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 </w:t>
      </w:r>
      <w:r w:rsidR="00AB6FAA" w:rsidRPr="00F25B37">
        <w:rPr>
          <w:rFonts w:ascii="Verdana" w:hAnsi="Verdana" w:cstheme="minorHAnsi"/>
          <w:bCs/>
          <w:sz w:val="22"/>
          <w:szCs w:val="22"/>
          <w:lang w:val="es-MX"/>
        </w:rPr>
        <w:t xml:space="preserve">de conformidad con los siguientes: </w:t>
      </w: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1F2DFC" w:rsidRPr="00F25B37" w:rsidRDefault="001F2DFC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ANTECEDENTES</w:t>
      </w: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I.-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Que de conformidad al artículo 115 de la Constitución Política de los Estados Unidos Mexicanos, que establece  que l</w:t>
      </w:r>
      <w:r w:rsidRPr="00F25B37">
        <w:rPr>
          <w:rFonts w:ascii="Verdana" w:hAnsi="Verdana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F25B37">
        <w:rPr>
          <w:rFonts w:ascii="Verdana" w:hAnsi="Verdana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</w:p>
    <w:p w:rsidR="001F2DFC" w:rsidRPr="00F25B37" w:rsidRDefault="001F2DFC" w:rsidP="00AB6FAA">
      <w:pPr>
        <w:jc w:val="both"/>
        <w:rPr>
          <w:rFonts w:ascii="Verdana" w:hAnsi="Verdana" w:cstheme="minorHAnsi"/>
          <w:b/>
          <w:color w:val="000000"/>
          <w:sz w:val="22"/>
          <w:szCs w:val="22"/>
          <w:lang w:val="es-MX" w:eastAsia="es-MX"/>
        </w:rPr>
      </w:pPr>
    </w:p>
    <w:p w:rsidR="00AB6FAA" w:rsidRPr="00F25B37" w:rsidRDefault="00AB6FAA" w:rsidP="00AB6FAA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color w:val="000000"/>
          <w:sz w:val="22"/>
          <w:szCs w:val="22"/>
          <w:lang w:val="es-MX" w:eastAsia="es-MX"/>
        </w:rPr>
        <w:t>II.-</w:t>
      </w:r>
      <w:r w:rsidRPr="00F25B37">
        <w:rPr>
          <w:rFonts w:ascii="Verdana" w:hAnsi="Verdana" w:cstheme="minorHAnsi"/>
          <w:color w:val="000000"/>
          <w:sz w:val="22"/>
          <w:szCs w:val="22"/>
          <w:lang w:val="es-MX" w:eastAsia="es-MX"/>
        </w:rPr>
        <w:t xml:space="preserve"> Que conforme a lo establecido en la Constitución Política del Estado de Jalisco, en su artículo 77 reconoce e</w:t>
      </w:r>
      <w:r w:rsidRPr="00F25B37">
        <w:rPr>
          <w:rFonts w:ascii="Verdana" w:hAnsi="Verdana" w:cstheme="minorHAnsi"/>
          <w:spacing w:val="-3"/>
          <w:sz w:val="22"/>
          <w:szCs w:val="22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F25B37">
        <w:rPr>
          <w:rFonts w:ascii="Verdana" w:hAnsi="Verdana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Pr="00F25B37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establecen las bases generales de la Administración Pública Municipal. </w:t>
      </w:r>
    </w:p>
    <w:p w:rsidR="00AB6FAA" w:rsidRPr="00F25B37" w:rsidRDefault="00AB6FAA" w:rsidP="00AB6FAA">
      <w:pPr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1F2DFC" w:rsidRPr="00F25B37" w:rsidRDefault="001F2DFC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B501DB" w:rsidRDefault="00B501D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B501DB" w:rsidRDefault="00B501D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BF070B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III.-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 </w:t>
      </w:r>
      <w:r w:rsidR="00B501DB">
        <w:rPr>
          <w:rFonts w:ascii="Verdana" w:hAnsi="Verdana" w:cstheme="minorHAnsi"/>
          <w:sz w:val="22"/>
          <w:szCs w:val="22"/>
          <w:lang w:val="es-MX"/>
        </w:rPr>
        <w:t xml:space="preserve">Que </w:t>
      </w:r>
      <w:r w:rsidR="00BF070B" w:rsidRPr="00F25B37">
        <w:rPr>
          <w:rFonts w:ascii="Verdana" w:hAnsi="Verdana" w:cstheme="minorHAnsi"/>
          <w:sz w:val="22"/>
          <w:szCs w:val="22"/>
          <w:lang w:val="es-MX"/>
        </w:rPr>
        <w:t xml:space="preserve">se han realizado </w:t>
      </w:r>
      <w:r w:rsidR="00B501DB">
        <w:rPr>
          <w:rFonts w:ascii="Verdana" w:hAnsi="Verdana" w:cstheme="minorHAnsi"/>
          <w:sz w:val="22"/>
          <w:szCs w:val="22"/>
          <w:lang w:val="es-MX"/>
        </w:rPr>
        <w:t xml:space="preserve">diversas </w:t>
      </w:r>
      <w:r w:rsidR="00BF070B" w:rsidRPr="00F25B37">
        <w:rPr>
          <w:rFonts w:ascii="Verdana" w:hAnsi="Verdana" w:cstheme="minorHAnsi"/>
          <w:sz w:val="22"/>
          <w:szCs w:val="22"/>
          <w:lang w:val="es-MX"/>
        </w:rPr>
        <w:t xml:space="preserve">modificaciones </w:t>
      </w:r>
      <w:r w:rsidR="00B501DB">
        <w:rPr>
          <w:rFonts w:ascii="Verdana" w:hAnsi="Verdana" w:cstheme="minorHAnsi"/>
          <w:sz w:val="22"/>
          <w:szCs w:val="22"/>
          <w:lang w:val="es-MX"/>
        </w:rPr>
        <w:t xml:space="preserve">al </w:t>
      </w:r>
      <w:r w:rsidR="00BF070B" w:rsidRPr="00F25B37">
        <w:rPr>
          <w:rFonts w:ascii="Verdana" w:hAnsi="Verdana" w:cstheme="minorHAnsi"/>
          <w:sz w:val="22"/>
          <w:szCs w:val="22"/>
          <w:lang w:val="es-MX"/>
        </w:rPr>
        <w:t>artículo 21 del Reglamento Interior del Ayuntamiento de Zapotlán el Grande, Jalisco, relativo a la convocatoria de las sesiones de ayuntamiento, en las cuales describen cual deberá ser el procedimiento de convocatoria a seguir en cada una de las sesiones que celebre el Ayuntamiento</w:t>
      </w:r>
      <w:r w:rsidR="001F2DFC" w:rsidRPr="00F25B37">
        <w:rPr>
          <w:rFonts w:ascii="Verdana" w:hAnsi="Verdana" w:cstheme="minorHAnsi"/>
          <w:sz w:val="22"/>
          <w:szCs w:val="22"/>
          <w:lang w:val="es-MX"/>
        </w:rPr>
        <w:t xml:space="preserve">. Con la finalidad de garantizar que cada uno de los regidores tenga la información oportuna para </w:t>
      </w:r>
      <w:r w:rsidR="00AE7A1E" w:rsidRPr="00F25B37">
        <w:rPr>
          <w:rFonts w:ascii="Verdana" w:hAnsi="Verdana" w:cstheme="minorHAnsi"/>
          <w:sz w:val="22"/>
          <w:szCs w:val="22"/>
          <w:lang w:val="es-MX"/>
        </w:rPr>
        <w:t xml:space="preserve">la toma de decisiones donde la racionalidad del costo-beneficio para </w:t>
      </w:r>
      <w:r w:rsidR="00E779BB" w:rsidRPr="00F25B37">
        <w:rPr>
          <w:rFonts w:ascii="Verdana" w:hAnsi="Verdana" w:cstheme="minorHAnsi"/>
          <w:sz w:val="22"/>
          <w:szCs w:val="22"/>
          <w:lang w:val="es-MX"/>
        </w:rPr>
        <w:t xml:space="preserve">los </w:t>
      </w:r>
      <w:proofErr w:type="spellStart"/>
      <w:r w:rsidR="00E779BB" w:rsidRPr="00F25B37">
        <w:rPr>
          <w:rFonts w:ascii="Verdana" w:hAnsi="Verdana" w:cstheme="minorHAnsi"/>
          <w:sz w:val="22"/>
          <w:szCs w:val="22"/>
          <w:lang w:val="es-MX"/>
        </w:rPr>
        <w:t>zapotlenses</w:t>
      </w:r>
      <w:proofErr w:type="spellEnd"/>
      <w:r w:rsidR="00E779BB" w:rsidRPr="00F25B37">
        <w:rPr>
          <w:rFonts w:ascii="Verdana" w:hAnsi="Verdana" w:cstheme="minorHAnsi"/>
          <w:sz w:val="22"/>
          <w:szCs w:val="22"/>
          <w:lang w:val="es-MX"/>
        </w:rPr>
        <w:t xml:space="preserve"> debe prevalecer en las sesiones de ayuntamiento tanto en sesiones ordinarias como en extraordinarias, que versen puntos que afecten o beneficien la esfera pública del municipio.</w:t>
      </w:r>
      <w:r w:rsidR="00AE7A1E"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</w:p>
    <w:p w:rsidR="001F2DFC" w:rsidRPr="00F25B37" w:rsidRDefault="001F2DFC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AB6FAA" w:rsidRPr="00F25B37" w:rsidRDefault="00E779B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I</w:t>
      </w:r>
      <w:r w:rsidR="00AB6FAA" w:rsidRPr="00F25B37">
        <w:rPr>
          <w:rFonts w:ascii="Verdana" w:hAnsi="Verdana" w:cstheme="minorHAnsi"/>
          <w:b/>
          <w:sz w:val="22"/>
          <w:szCs w:val="22"/>
          <w:lang w:val="es-MX"/>
        </w:rPr>
        <w:t xml:space="preserve">V.- </w:t>
      </w:r>
      <w:r w:rsidRPr="00F25B37">
        <w:rPr>
          <w:rFonts w:ascii="Verdana" w:hAnsi="Verdana" w:cstheme="minorHAnsi"/>
          <w:sz w:val="22"/>
          <w:szCs w:val="22"/>
          <w:lang w:val="es-MX"/>
        </w:rPr>
        <w:t>Con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 xml:space="preserve"> base a lo anterior, se propone la </w:t>
      </w:r>
      <w:r w:rsidRPr="00F25B37">
        <w:rPr>
          <w:rFonts w:ascii="Verdana" w:hAnsi="Verdana" w:cstheme="minorHAnsi"/>
          <w:sz w:val="22"/>
          <w:szCs w:val="22"/>
          <w:lang w:val="es-MX"/>
        </w:rPr>
        <w:t>reforma del artículo 21 en su punto 4 del Reglamento Interior del Ayuntamiento de Zapotlán el Grande, Jalisco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>, para mayor amplitud se procede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a la transcripción del numeral</w:t>
      </w: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AB6FAA" w:rsidRPr="00F25B37" w:rsidRDefault="00AB6FAA" w:rsidP="0080737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theme="minorHAnsi"/>
          <w:i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i/>
          <w:sz w:val="22"/>
          <w:szCs w:val="22"/>
          <w:lang w:val="es-MX"/>
        </w:rPr>
        <w:t xml:space="preserve">Artículo </w:t>
      </w:r>
      <w:r w:rsidR="00E779BB" w:rsidRPr="00F25B37">
        <w:rPr>
          <w:rFonts w:ascii="Verdana" w:hAnsi="Verdana" w:cstheme="minorHAnsi"/>
          <w:b/>
          <w:i/>
          <w:sz w:val="22"/>
          <w:szCs w:val="22"/>
          <w:lang w:val="es-MX"/>
        </w:rPr>
        <w:t>21</w:t>
      </w:r>
      <w:r w:rsidRPr="00F25B37">
        <w:rPr>
          <w:rFonts w:ascii="Verdana" w:hAnsi="Verdana" w:cstheme="minorHAnsi"/>
          <w:b/>
          <w:i/>
          <w:sz w:val="22"/>
          <w:szCs w:val="22"/>
          <w:lang w:val="es-MX"/>
        </w:rPr>
        <w:t>.-</w:t>
      </w:r>
      <w:r w:rsidRPr="00F25B37">
        <w:rPr>
          <w:rFonts w:ascii="Verdana" w:hAnsi="Verdana" w:cstheme="minorHAnsi"/>
          <w:i/>
          <w:sz w:val="22"/>
          <w:szCs w:val="22"/>
          <w:lang w:val="es-MX"/>
        </w:rPr>
        <w:t xml:space="preserve"> </w:t>
      </w:r>
    </w:p>
    <w:p w:rsidR="00F25B37" w:rsidRPr="00F25B37" w:rsidRDefault="00F25B37" w:rsidP="0080737A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="ArialMT"/>
          <w:i/>
          <w:szCs w:val="22"/>
          <w:lang w:val="es-MX"/>
        </w:rPr>
      </w:pPr>
      <w:r w:rsidRPr="00F25B37">
        <w:rPr>
          <w:rFonts w:ascii="Verdana" w:eastAsiaTheme="minorHAnsi" w:hAnsi="Verdana" w:cs="ArialMT"/>
          <w:i/>
          <w:szCs w:val="22"/>
          <w:lang w:val="es-MX"/>
        </w:rPr>
        <w:t>1.- Las sesiones que celebre el Ayuntamiento son convocadas por el  Presidente Municipal, al término de cada sesión, señalará el lugar, día y hora en que deba celebrarse la siguiente.</w:t>
      </w:r>
    </w:p>
    <w:p w:rsidR="00F25B37" w:rsidRPr="00F25B37" w:rsidRDefault="00F25B37" w:rsidP="0080737A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="ArialMT"/>
          <w:i/>
          <w:szCs w:val="22"/>
          <w:lang w:val="es-MX"/>
        </w:rPr>
      </w:pPr>
      <w:r w:rsidRPr="00F25B37">
        <w:rPr>
          <w:rFonts w:ascii="Verdana" w:eastAsiaTheme="minorHAnsi" w:hAnsi="Verdana" w:cs="ArialMT"/>
          <w:i/>
          <w:szCs w:val="22"/>
          <w:lang w:val="es-MX"/>
        </w:rPr>
        <w:t>2.- Cuando por cualquier circunstancia, el Presidente Municipal no convoque a sesión en los términos del párrafo anterior, puede hacerlo en cualquier momento, siempre y cuando la convocatoria se entregue a cada uno de los integrantes del Ayuntamiento con setenta y dos horas de anticipación a la fecha en que deba celebrarse.</w:t>
      </w:r>
    </w:p>
    <w:p w:rsidR="00F25B37" w:rsidRPr="00F25B37" w:rsidRDefault="00F25B37" w:rsidP="0080737A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="ArialMT"/>
          <w:i/>
          <w:szCs w:val="22"/>
          <w:lang w:val="es-MX"/>
        </w:rPr>
      </w:pPr>
      <w:r w:rsidRPr="00F25B37">
        <w:rPr>
          <w:rFonts w:ascii="Verdana" w:eastAsiaTheme="minorHAnsi" w:hAnsi="Verdana" w:cs="ArialMT"/>
          <w:i/>
          <w:szCs w:val="22"/>
          <w:lang w:val="es-MX"/>
        </w:rPr>
        <w:t>3.- Invariablemente, con cuarenta y ocho horas de anticipación a la realización de la sesión, la Secretaría General debe entregar a los integrantes del Ayuntamiento, el orden del día, el cual deberá publicarse en el portal web de transparencia y no sufrirá modificaciones por ningún motivo hasta su aprobación en pleno, incluyendo los dictámenes correspondientes que se entregaran a los ediles con la misma anticipación.</w:t>
      </w:r>
    </w:p>
    <w:p w:rsidR="00AB6FAA" w:rsidRPr="00F25B37" w:rsidRDefault="00E779BB" w:rsidP="0080737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i/>
          <w:sz w:val="24"/>
          <w:szCs w:val="22"/>
          <w:lang w:val="es-MX"/>
        </w:rPr>
      </w:pPr>
      <w:r w:rsidRPr="00F25B37">
        <w:rPr>
          <w:rFonts w:ascii="Verdana" w:hAnsi="Verdana" w:cstheme="minorHAnsi"/>
          <w:b/>
          <w:i/>
          <w:sz w:val="24"/>
          <w:szCs w:val="22"/>
          <w:lang w:val="es-MX"/>
        </w:rPr>
        <w:t>4.- Lo señalado en el párrafo segundo no se aplica en el supuesto de sesión extraordinaria, la cual pude verificarse en cualquier momento, siempre y cuando previamente sean notificados los integrantes del Ayuntamiento.</w:t>
      </w:r>
    </w:p>
    <w:p w:rsidR="00E779BB" w:rsidRPr="00F25B37" w:rsidRDefault="00F25B37" w:rsidP="0080737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i/>
          <w:szCs w:val="22"/>
          <w:lang w:val="es-MX"/>
        </w:rPr>
      </w:pPr>
      <w:r w:rsidRPr="00F25B37">
        <w:rPr>
          <w:rFonts w:ascii="Verdana" w:eastAsiaTheme="minorHAnsi" w:hAnsi="Verdana" w:cs="ArialMT"/>
          <w:i/>
          <w:szCs w:val="22"/>
          <w:lang w:val="es-MX"/>
        </w:rPr>
        <w:t xml:space="preserve">5. Las sesiones ordinarias donde se </w:t>
      </w:r>
      <w:proofErr w:type="spellStart"/>
      <w:r w:rsidRPr="00F25B37">
        <w:rPr>
          <w:rFonts w:ascii="Verdana" w:eastAsiaTheme="minorHAnsi" w:hAnsi="Verdana" w:cs="ArialMT"/>
          <w:i/>
          <w:szCs w:val="22"/>
          <w:lang w:val="es-MX"/>
        </w:rPr>
        <w:t>agende</w:t>
      </w:r>
      <w:proofErr w:type="spellEnd"/>
      <w:r w:rsidRPr="00F25B37">
        <w:rPr>
          <w:rFonts w:ascii="Verdana" w:eastAsiaTheme="minorHAnsi" w:hAnsi="Verdana" w:cs="ArialMT"/>
          <w:i/>
          <w:szCs w:val="22"/>
          <w:lang w:val="es-MX"/>
        </w:rPr>
        <w:t xml:space="preserve"> la solicitud e intervención de los representantes de</w:t>
      </w:r>
      <w:r>
        <w:rPr>
          <w:rFonts w:ascii="Verdana" w:eastAsiaTheme="minorHAnsi" w:hAnsi="Verdana" w:cs="ArialMT"/>
          <w:i/>
          <w:szCs w:val="22"/>
          <w:lang w:val="es-MX"/>
        </w:rPr>
        <w:t xml:space="preserve"> </w:t>
      </w:r>
      <w:r w:rsidRPr="00F25B37">
        <w:rPr>
          <w:rFonts w:ascii="Verdana" w:eastAsiaTheme="minorHAnsi" w:hAnsi="Verdana" w:cs="ArialMT"/>
          <w:i/>
          <w:szCs w:val="22"/>
          <w:lang w:val="es-MX"/>
        </w:rPr>
        <w:t>asociaciones vecinales debidamente registradas ante la Coordinación de Construcción de Comunidad a través de la Unidad de Participación Ciudadana, serán convocadas por el Presidente Municipal y Secretario General mediante convocatoria abierta misma que deberá publicarse en la Gaceta Municipal, Página Web oficial, y en la Unidad de Participación Ciudadana por lo menos quince días  hábiles antes de la celebración de la misma.</w:t>
      </w:r>
    </w:p>
    <w:p w:rsidR="00F25B37" w:rsidRPr="00F25B37" w:rsidRDefault="00F25B37" w:rsidP="0080737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F25B37" w:rsidRDefault="00F25B37" w:rsidP="0080737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F25B37" w:rsidRDefault="00F25B37" w:rsidP="0080737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F25B37" w:rsidRDefault="00F25B37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F25B37" w:rsidRPr="00F25B37" w:rsidRDefault="00F25B37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E779B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Quedando</w:t>
      </w:r>
      <w:r w:rsidR="00AB6FAA" w:rsidRPr="00F25B37">
        <w:rPr>
          <w:rFonts w:ascii="Verdana" w:hAnsi="Verdana" w:cstheme="minorHAnsi"/>
          <w:b/>
          <w:sz w:val="22"/>
          <w:szCs w:val="22"/>
          <w:lang w:val="es-MX"/>
        </w:rPr>
        <w:t xml:space="preserve"> de la siguiente manera:</w:t>
      </w:r>
    </w:p>
    <w:p w:rsidR="00E779BB" w:rsidRPr="00F25B37" w:rsidRDefault="00E779BB" w:rsidP="00E779BB">
      <w:pPr>
        <w:autoSpaceDE w:val="0"/>
        <w:autoSpaceDN w:val="0"/>
        <w:adjustRightInd w:val="0"/>
        <w:ind w:left="567"/>
        <w:jc w:val="both"/>
        <w:rPr>
          <w:rFonts w:ascii="Verdana" w:hAnsi="Verdana" w:cstheme="minorHAnsi"/>
          <w:i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i/>
          <w:sz w:val="22"/>
          <w:szCs w:val="22"/>
          <w:lang w:val="es-MX"/>
        </w:rPr>
        <w:t>Artículo 21.-</w:t>
      </w:r>
      <w:r w:rsidRPr="00F25B37">
        <w:rPr>
          <w:rFonts w:ascii="Verdana" w:hAnsi="Verdana" w:cstheme="minorHAnsi"/>
          <w:i/>
          <w:sz w:val="22"/>
          <w:szCs w:val="22"/>
          <w:lang w:val="es-MX"/>
        </w:rPr>
        <w:t xml:space="preserve"> </w:t>
      </w:r>
    </w:p>
    <w:p w:rsidR="00F25B37" w:rsidRPr="00F25B37" w:rsidRDefault="00F25B37" w:rsidP="00E779BB">
      <w:pPr>
        <w:autoSpaceDE w:val="0"/>
        <w:autoSpaceDN w:val="0"/>
        <w:adjustRightInd w:val="0"/>
        <w:ind w:left="567"/>
        <w:jc w:val="both"/>
        <w:rPr>
          <w:rFonts w:ascii="Verdana" w:hAnsi="Verdana" w:cstheme="minorHAnsi"/>
          <w:i/>
          <w:sz w:val="22"/>
          <w:szCs w:val="22"/>
          <w:lang w:val="es-MX"/>
        </w:rPr>
      </w:pPr>
    </w:p>
    <w:p w:rsidR="00E779BB" w:rsidRPr="00F25B37" w:rsidRDefault="00E779BB" w:rsidP="00E779BB">
      <w:pPr>
        <w:autoSpaceDE w:val="0"/>
        <w:autoSpaceDN w:val="0"/>
        <w:adjustRightInd w:val="0"/>
        <w:ind w:left="567"/>
        <w:jc w:val="both"/>
        <w:rPr>
          <w:rFonts w:ascii="Verdana" w:hAnsi="Verdana" w:cstheme="minorHAnsi"/>
          <w:i/>
          <w:sz w:val="22"/>
          <w:szCs w:val="22"/>
          <w:lang w:val="es-MX"/>
        </w:rPr>
      </w:pPr>
      <w:r w:rsidRPr="00F25B37">
        <w:rPr>
          <w:rFonts w:ascii="Verdana" w:hAnsi="Verdana" w:cstheme="minorHAnsi"/>
          <w:i/>
          <w:sz w:val="22"/>
          <w:szCs w:val="22"/>
          <w:lang w:val="es-MX"/>
        </w:rPr>
        <w:t>1.</w:t>
      </w:r>
      <w:proofErr w:type="gramStart"/>
      <w:r w:rsidRPr="00F25B37">
        <w:rPr>
          <w:rFonts w:ascii="Verdana" w:hAnsi="Verdana" w:cstheme="minorHAnsi"/>
          <w:i/>
          <w:sz w:val="22"/>
          <w:szCs w:val="22"/>
          <w:lang w:val="es-MX"/>
        </w:rPr>
        <w:t>- …</w:t>
      </w:r>
      <w:proofErr w:type="gramEnd"/>
    </w:p>
    <w:p w:rsidR="00E779BB" w:rsidRPr="00F25B37" w:rsidRDefault="00E779BB" w:rsidP="00E779BB">
      <w:pPr>
        <w:autoSpaceDE w:val="0"/>
        <w:autoSpaceDN w:val="0"/>
        <w:adjustRightInd w:val="0"/>
        <w:ind w:left="567"/>
        <w:jc w:val="both"/>
        <w:rPr>
          <w:rFonts w:ascii="Verdana" w:hAnsi="Verdana" w:cstheme="minorHAnsi"/>
          <w:i/>
          <w:sz w:val="22"/>
          <w:szCs w:val="22"/>
          <w:lang w:val="es-MX"/>
        </w:rPr>
      </w:pPr>
      <w:r w:rsidRPr="00F25B37">
        <w:rPr>
          <w:rFonts w:ascii="Verdana" w:hAnsi="Verdana" w:cstheme="minorHAnsi"/>
          <w:i/>
          <w:sz w:val="22"/>
          <w:szCs w:val="22"/>
          <w:lang w:val="es-MX"/>
        </w:rPr>
        <w:t>2.-…</w:t>
      </w:r>
    </w:p>
    <w:p w:rsidR="00E779BB" w:rsidRPr="00F25B37" w:rsidRDefault="00E779BB" w:rsidP="00E779BB">
      <w:pPr>
        <w:autoSpaceDE w:val="0"/>
        <w:autoSpaceDN w:val="0"/>
        <w:adjustRightInd w:val="0"/>
        <w:ind w:left="567"/>
        <w:jc w:val="both"/>
        <w:rPr>
          <w:rFonts w:ascii="Verdana" w:hAnsi="Verdana" w:cstheme="minorHAnsi"/>
          <w:i/>
          <w:sz w:val="22"/>
          <w:szCs w:val="22"/>
          <w:lang w:val="es-MX"/>
        </w:rPr>
      </w:pPr>
      <w:r w:rsidRPr="00F25B37">
        <w:rPr>
          <w:rFonts w:ascii="Verdana" w:hAnsi="Verdana" w:cstheme="minorHAnsi"/>
          <w:i/>
          <w:sz w:val="22"/>
          <w:szCs w:val="22"/>
          <w:lang w:val="es-MX"/>
        </w:rPr>
        <w:t>3.</w:t>
      </w:r>
      <w:proofErr w:type="gramStart"/>
      <w:r w:rsidRPr="00F25B37">
        <w:rPr>
          <w:rFonts w:ascii="Verdana" w:hAnsi="Verdana" w:cstheme="minorHAnsi"/>
          <w:i/>
          <w:sz w:val="22"/>
          <w:szCs w:val="22"/>
          <w:lang w:val="es-MX"/>
        </w:rPr>
        <w:t>- …</w:t>
      </w:r>
      <w:proofErr w:type="gramEnd"/>
    </w:p>
    <w:p w:rsidR="00E779BB" w:rsidRPr="0080737A" w:rsidRDefault="00E779BB" w:rsidP="00E779BB">
      <w:pPr>
        <w:autoSpaceDE w:val="0"/>
        <w:autoSpaceDN w:val="0"/>
        <w:adjustRightInd w:val="0"/>
        <w:ind w:left="567"/>
        <w:jc w:val="both"/>
        <w:rPr>
          <w:rFonts w:ascii="Verdana" w:hAnsi="Verdana" w:cstheme="minorHAnsi"/>
          <w:b/>
          <w:i/>
          <w:sz w:val="24"/>
          <w:szCs w:val="22"/>
          <w:u w:val="single"/>
          <w:lang w:val="es-MX"/>
        </w:rPr>
      </w:pPr>
      <w:r w:rsidRPr="0080737A">
        <w:rPr>
          <w:rFonts w:ascii="Verdana" w:hAnsi="Verdana" w:cstheme="minorHAnsi"/>
          <w:b/>
          <w:i/>
          <w:sz w:val="24"/>
          <w:szCs w:val="22"/>
          <w:lang w:val="es-MX"/>
        </w:rPr>
        <w:t xml:space="preserve">4.- Lo señalado en el párrafo segundo no se aplica en el supuesto de sesión extraordinaria, la cual pude verificarse en cualquier momento, siempre y cuando previamente sean notificados los integrantes del Ayuntamiento, </w:t>
      </w:r>
      <w:r w:rsidRPr="0080737A">
        <w:rPr>
          <w:rFonts w:ascii="Verdana" w:hAnsi="Verdana" w:cstheme="minorHAnsi"/>
          <w:b/>
          <w:i/>
          <w:sz w:val="24"/>
          <w:szCs w:val="22"/>
          <w:u w:val="single"/>
          <w:lang w:val="es-MX"/>
        </w:rPr>
        <w:t>incluyendo</w:t>
      </w:r>
      <w:r w:rsidR="00E01B6A" w:rsidRPr="0080737A">
        <w:rPr>
          <w:rFonts w:ascii="Verdana" w:hAnsi="Verdana" w:cstheme="minorHAnsi"/>
          <w:b/>
          <w:i/>
          <w:sz w:val="24"/>
          <w:szCs w:val="22"/>
          <w:u w:val="single"/>
          <w:lang w:val="es-MX"/>
        </w:rPr>
        <w:t xml:space="preserve"> los dictámenes correspondientes que  se entregarán a los ediles al momento de la notificación.</w:t>
      </w:r>
    </w:p>
    <w:p w:rsidR="00AB6FAA" w:rsidRPr="00F25B37" w:rsidRDefault="00E779BB" w:rsidP="00E01B6A">
      <w:pPr>
        <w:autoSpaceDE w:val="0"/>
        <w:autoSpaceDN w:val="0"/>
        <w:adjustRightInd w:val="0"/>
        <w:ind w:firstLine="567"/>
        <w:jc w:val="both"/>
        <w:rPr>
          <w:rFonts w:ascii="Verdana" w:hAnsi="Verdana" w:cstheme="minorHAnsi"/>
          <w:i/>
          <w:sz w:val="22"/>
          <w:szCs w:val="22"/>
          <w:lang w:val="es-MX"/>
        </w:rPr>
      </w:pPr>
      <w:r w:rsidRPr="00F25B37">
        <w:rPr>
          <w:rFonts w:ascii="Verdana" w:hAnsi="Verdana" w:cstheme="minorHAnsi"/>
          <w:i/>
          <w:sz w:val="22"/>
          <w:szCs w:val="22"/>
          <w:lang w:val="es-MX"/>
        </w:rPr>
        <w:t>5.</w:t>
      </w:r>
      <w:proofErr w:type="gramStart"/>
      <w:r w:rsidRPr="00F25B37">
        <w:rPr>
          <w:rFonts w:ascii="Verdana" w:hAnsi="Verdana" w:cstheme="minorHAnsi"/>
          <w:i/>
          <w:sz w:val="22"/>
          <w:szCs w:val="22"/>
          <w:lang w:val="es-MX"/>
        </w:rPr>
        <w:t>- …</w:t>
      </w:r>
      <w:proofErr w:type="gramEnd"/>
    </w:p>
    <w:p w:rsidR="00E779BB" w:rsidRPr="00F25B37" w:rsidRDefault="00E779BB" w:rsidP="00E779BB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Para lo cual propongo </w:t>
      </w:r>
      <w:r w:rsidRPr="00F25B37">
        <w:rPr>
          <w:rFonts w:ascii="Verdana" w:hAnsi="Verdana" w:cs="Tahoma"/>
          <w:sz w:val="22"/>
          <w:szCs w:val="22"/>
          <w:lang w:val="es-MX"/>
        </w:rPr>
        <w:t>siguiente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E01B6A" w:rsidRPr="00F25B37">
        <w:rPr>
          <w:rFonts w:ascii="Verdana" w:hAnsi="Verdana" w:cstheme="minorHAnsi"/>
          <w:b/>
          <w:sz w:val="22"/>
          <w:szCs w:val="22"/>
          <w:lang w:val="es-MX"/>
        </w:rPr>
        <w:t xml:space="preserve">INICIATIVA DE ORDENAMIENTO QUE REFORMA EL ARTÍCULO 21 EN SU PUNTO 4 DEL REGLAMENTO INTERIOR DEL AYUNTAMIENTO DE ZAPOTLÁN EL GRANDE, JALISCO </w:t>
      </w:r>
      <w:r w:rsidRPr="00F25B37">
        <w:rPr>
          <w:rFonts w:ascii="Verdana" w:hAnsi="Verdana" w:cs="Tahoma"/>
          <w:b/>
          <w:bCs/>
          <w:sz w:val="22"/>
          <w:szCs w:val="22"/>
          <w:lang w:val="es-MX"/>
        </w:rPr>
        <w:t xml:space="preserve">, </w:t>
      </w:r>
      <w:r w:rsidRPr="00F25B37">
        <w:rPr>
          <w:rFonts w:ascii="Verdana" w:hAnsi="Verdana" w:cs="Tahoma"/>
          <w:sz w:val="22"/>
          <w:szCs w:val="22"/>
          <w:lang w:val="es-MX"/>
        </w:rPr>
        <w:t>de conformidad al punto siguiente:</w:t>
      </w: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="Tahoma"/>
          <w:bCs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ÚNICO: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Se turne a la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Comisión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Edilicia 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de Administración Pública como convocante y a la Comisión de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Reglamentos y Gobernación</w:t>
      </w:r>
      <w:r w:rsidR="00170F7C">
        <w:rPr>
          <w:rFonts w:ascii="Verdana" w:hAnsi="Verdana" w:cs="Tahoma"/>
          <w:bCs/>
          <w:sz w:val="22"/>
          <w:szCs w:val="22"/>
          <w:lang w:val="es-MX"/>
        </w:rPr>
        <w:t xml:space="preserve"> como coadyuvante </w:t>
      </w:r>
      <w:bookmarkStart w:id="0" w:name="_GoBack"/>
      <w:bookmarkEnd w:id="0"/>
      <w:r w:rsidRPr="00F25B37">
        <w:rPr>
          <w:rFonts w:ascii="Verdana" w:hAnsi="Verdana" w:cs="Tahoma"/>
          <w:bCs/>
          <w:sz w:val="22"/>
          <w:szCs w:val="22"/>
          <w:lang w:val="es-MX"/>
        </w:rPr>
        <w:t>para su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 estudio y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</w:t>
      </w:r>
      <w:proofErr w:type="spellStart"/>
      <w:r w:rsidRPr="00F25B37">
        <w:rPr>
          <w:rFonts w:ascii="Verdana" w:hAnsi="Verdana" w:cs="Tahoma"/>
          <w:bCs/>
          <w:sz w:val="22"/>
          <w:szCs w:val="22"/>
          <w:lang w:val="es-MX"/>
        </w:rPr>
        <w:t>dictaminación</w:t>
      </w:r>
      <w:proofErr w:type="spellEnd"/>
      <w:r w:rsidRPr="00F25B37">
        <w:rPr>
          <w:rFonts w:ascii="Verdana" w:hAnsi="Verdana" w:cs="Tahoma"/>
          <w:bCs/>
          <w:sz w:val="22"/>
          <w:szCs w:val="22"/>
          <w:lang w:val="es-MX"/>
        </w:rPr>
        <w:t>.</w:t>
      </w:r>
    </w:p>
    <w:p w:rsidR="00AB6FAA" w:rsidRPr="001F2DFC" w:rsidRDefault="00AB6FAA" w:rsidP="00AB6FAA">
      <w:pPr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:rsidR="00AB6FAA" w:rsidRPr="0080737A" w:rsidRDefault="00AB6FAA" w:rsidP="00AB6FAA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8"/>
          <w:lang w:val="pt-BR"/>
        </w:rPr>
      </w:pPr>
    </w:p>
    <w:p w:rsidR="00E01B6A" w:rsidRPr="0080737A" w:rsidRDefault="00E01B6A" w:rsidP="00E01B6A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  <w:r w:rsidRPr="0080737A">
        <w:rPr>
          <w:rFonts w:ascii="Verdana" w:eastAsia="Calibri" w:hAnsi="Verdana" w:cs="Tahoma"/>
          <w:sz w:val="20"/>
          <w:szCs w:val="20"/>
          <w:lang w:val="pt-BR"/>
        </w:rPr>
        <w:t>A T E N T A M E N T E</w:t>
      </w:r>
    </w:p>
    <w:p w:rsidR="00F25B37" w:rsidRPr="0080737A" w:rsidRDefault="00F25B37" w:rsidP="00F25B37">
      <w:pPr>
        <w:rPr>
          <w:rFonts w:eastAsia="Calibri"/>
          <w:lang w:val="pt-BR" w:eastAsia="es-ES"/>
        </w:rPr>
      </w:pPr>
    </w:p>
    <w:p w:rsidR="00F25B37" w:rsidRPr="0080737A" w:rsidRDefault="00F25B37" w:rsidP="00F25B37">
      <w:pPr>
        <w:pStyle w:val="Sinespaciado"/>
        <w:jc w:val="center"/>
        <w:rPr>
          <w:rFonts w:ascii="Georgia" w:hAnsi="Georgia" w:cs="Tahoma"/>
          <w:b/>
          <w:bCs/>
          <w:i/>
          <w:szCs w:val="24"/>
          <w:lang w:val="es-MX"/>
        </w:rPr>
      </w:pPr>
      <w:r w:rsidRPr="0080737A">
        <w:rPr>
          <w:rFonts w:ascii="Georgia" w:hAnsi="Georgia" w:cs="Tahoma"/>
          <w:b/>
          <w:bCs/>
          <w:i/>
          <w:szCs w:val="24"/>
          <w:lang w:val="es-MX"/>
        </w:rPr>
        <w:t>“2019, “AÑO DEL LXXX ANIVERSARIO DE LA ESCUELA SECUNDARIA BENITO JUÁREZ”</w:t>
      </w:r>
    </w:p>
    <w:p w:rsidR="00F25B37" w:rsidRPr="0080737A" w:rsidRDefault="00F25B37" w:rsidP="00F25B37">
      <w:pPr>
        <w:rPr>
          <w:rFonts w:ascii="Georgia" w:eastAsia="Calibri" w:hAnsi="Georgia"/>
          <w:lang w:val="es-MX" w:eastAsia="es-ES"/>
        </w:rPr>
      </w:pPr>
    </w:p>
    <w:p w:rsidR="00E01B6A" w:rsidRPr="0080737A" w:rsidRDefault="00E01B6A" w:rsidP="00E01B6A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szCs w:val="24"/>
          <w:lang w:val="es-MX"/>
        </w:rPr>
      </w:pPr>
      <w:r w:rsidRPr="0080737A">
        <w:rPr>
          <w:rFonts w:ascii="Georgia" w:hAnsi="Georgia" w:cs="Tahoma"/>
          <w:b/>
          <w:bCs/>
          <w:i/>
          <w:lang w:val="es-MX"/>
        </w:rPr>
        <w:t xml:space="preserve"> </w:t>
      </w:r>
      <w:r w:rsidRPr="0080737A">
        <w:rPr>
          <w:rFonts w:ascii="Georgia" w:hAnsi="Georgia" w:cs="Tahoma"/>
          <w:b/>
          <w:bCs/>
          <w:i/>
          <w:szCs w:val="24"/>
          <w:lang w:val="es-MX"/>
        </w:rPr>
        <w:t>“2019, “AÑO DEL LXXX ANIVERSARIO DE LA ESCUELA SECUNDARIA BENITO JUÁREZ”</w:t>
      </w:r>
    </w:p>
    <w:p w:rsidR="00F25B37" w:rsidRPr="0080737A" w:rsidRDefault="00F25B37" w:rsidP="00E01B6A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szCs w:val="24"/>
          <w:lang w:val="es-MX"/>
        </w:rPr>
      </w:pPr>
    </w:p>
    <w:p w:rsidR="00E01B6A" w:rsidRPr="00F25B37" w:rsidRDefault="00E01B6A" w:rsidP="00E01B6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F25B37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F25B37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F25B37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F25B37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F25B37">
        <w:rPr>
          <w:rFonts w:ascii="Verdana" w:eastAsia="Calibri" w:hAnsi="Verdana" w:cs="Tahoma"/>
          <w:b w:val="0"/>
          <w:bCs w:val="0"/>
          <w:sz w:val="20"/>
        </w:rPr>
        <w:t xml:space="preserve"> Zapotlán el Grande, Jalisco, </w:t>
      </w:r>
      <w:r w:rsidR="00F25B37" w:rsidRPr="00F25B37">
        <w:rPr>
          <w:rFonts w:ascii="Verdana" w:eastAsia="Calibri" w:hAnsi="Verdana" w:cs="Tahoma"/>
          <w:b w:val="0"/>
          <w:bCs w:val="0"/>
          <w:sz w:val="20"/>
        </w:rPr>
        <w:t>09 nueve de mayo</w:t>
      </w:r>
      <w:r w:rsidRPr="00F25B37">
        <w:rPr>
          <w:rFonts w:ascii="Verdana" w:eastAsia="Calibri" w:hAnsi="Verdana" w:cs="Tahoma"/>
          <w:b w:val="0"/>
          <w:bCs w:val="0"/>
          <w:sz w:val="20"/>
        </w:rPr>
        <w:t xml:space="preserve"> del año 2019 dos mil diecinueve.</w:t>
      </w:r>
    </w:p>
    <w:p w:rsidR="00E01B6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:rsidR="00E01B6A" w:rsidRPr="0080737A" w:rsidRDefault="00E01B6A" w:rsidP="00E01B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80737A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E01B6A" w:rsidRPr="0080737A" w:rsidRDefault="00E01B6A" w:rsidP="00E01B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80737A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FD67D6" w:rsidRPr="0080737A" w:rsidRDefault="00FD67D6">
      <w:pPr>
        <w:rPr>
          <w:rFonts w:ascii="Verdana" w:hAnsi="Verdana"/>
          <w:sz w:val="22"/>
          <w:szCs w:val="24"/>
          <w:lang w:val="es-MX"/>
        </w:rPr>
      </w:pPr>
    </w:p>
    <w:p w:rsidR="0080737A" w:rsidRPr="0080737A" w:rsidRDefault="0080737A">
      <w:pPr>
        <w:rPr>
          <w:rFonts w:ascii="Verdana" w:hAnsi="Verdana"/>
          <w:sz w:val="22"/>
          <w:szCs w:val="24"/>
          <w:lang w:val="es-MX"/>
        </w:rPr>
      </w:pPr>
    </w:p>
    <w:sectPr w:rsidR="0080737A" w:rsidRPr="0080737A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7C" w:rsidRDefault="00144C7C" w:rsidP="00120BC3">
      <w:r>
        <w:separator/>
      </w:r>
    </w:p>
  </w:endnote>
  <w:endnote w:type="continuationSeparator" w:id="0">
    <w:p w:rsidR="00144C7C" w:rsidRDefault="00144C7C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5963E3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63E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876D6" w:rsidRDefault="005963E3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7C" w:rsidRDefault="00144C7C" w:rsidP="00120BC3">
      <w:r>
        <w:separator/>
      </w:r>
    </w:p>
  </w:footnote>
  <w:footnote w:type="continuationSeparator" w:id="0">
    <w:p w:rsidR="00144C7C" w:rsidRDefault="00144C7C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C3" w:rsidRDefault="005963E3">
    <w:pPr>
      <w:pStyle w:val="Encabezado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05pt;margin-top:-1in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AA"/>
    <w:rsid w:val="00120BC3"/>
    <w:rsid w:val="00144C7C"/>
    <w:rsid w:val="00170F7C"/>
    <w:rsid w:val="00195BE9"/>
    <w:rsid w:val="001F2DFC"/>
    <w:rsid w:val="0022685C"/>
    <w:rsid w:val="003F110B"/>
    <w:rsid w:val="005963E3"/>
    <w:rsid w:val="0080737A"/>
    <w:rsid w:val="00AB6FAA"/>
    <w:rsid w:val="00AE7A1E"/>
    <w:rsid w:val="00B438FD"/>
    <w:rsid w:val="00B501DB"/>
    <w:rsid w:val="00B80AD2"/>
    <w:rsid w:val="00BF070B"/>
    <w:rsid w:val="00E01B6A"/>
    <w:rsid w:val="00E779BB"/>
    <w:rsid w:val="00EA4D0E"/>
    <w:rsid w:val="00F25B37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Maria Antonieta Vizcaino Martinez</cp:lastModifiedBy>
  <cp:revision>4</cp:revision>
  <cp:lastPrinted>2019-05-09T20:22:00Z</cp:lastPrinted>
  <dcterms:created xsi:type="dcterms:W3CDTF">2019-05-09T20:02:00Z</dcterms:created>
  <dcterms:modified xsi:type="dcterms:W3CDTF">2019-05-09T20:22:00Z</dcterms:modified>
</cp:coreProperties>
</file>