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9A" w:rsidRDefault="00BE2B9A" w:rsidP="00BE2B9A">
      <w:pPr>
        <w:pStyle w:val="Sinespaciado"/>
        <w:jc w:val="center"/>
        <w:rPr>
          <w:rFonts w:ascii="Arial" w:eastAsia="Arial" w:hAnsi="Arial" w:cs="Arial"/>
          <w:b/>
          <w:sz w:val="28"/>
          <w:szCs w:val="28"/>
          <w:lang w:val="es"/>
        </w:rPr>
      </w:pPr>
      <w:r>
        <w:rPr>
          <w:rFonts w:ascii="Lithos Pro Regular" w:eastAsiaTheme="majorEastAsia" w:hAnsi="Lithos Pro Regular" w:cstheme="majorBidi"/>
          <w:b/>
          <w:noProof/>
          <w:sz w:val="52"/>
          <w:szCs w:val="72"/>
        </w:rPr>
        <w:drawing>
          <wp:anchor distT="0" distB="0" distL="114300" distR="114300" simplePos="0" relativeHeight="251658240" behindDoc="0" locked="0" layoutInCell="1" allowOverlap="1" wp14:anchorId="42EF1A61" wp14:editId="69D3C125">
            <wp:simplePos x="0" y="0"/>
            <wp:positionH relativeFrom="column">
              <wp:posOffset>2095500</wp:posOffset>
            </wp:positionH>
            <wp:positionV relativeFrom="paragraph">
              <wp:posOffset>2540</wp:posOffset>
            </wp:positionV>
            <wp:extent cx="1533525" cy="1645280"/>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Lst>
                    </a:blip>
                    <a:srcRect/>
                    <a:stretch>
                      <a:fillRect/>
                    </a:stretch>
                  </pic:blipFill>
                  <pic:spPr bwMode="auto">
                    <a:xfrm>
                      <a:off x="0" y="0"/>
                      <a:ext cx="1533525" cy="1645280"/>
                    </a:xfrm>
                    <a:prstGeom prst="rect">
                      <a:avLst/>
                    </a:prstGeom>
                    <a:noFill/>
                  </pic:spPr>
                </pic:pic>
              </a:graphicData>
            </a:graphic>
          </wp:anchor>
        </w:drawing>
      </w: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28"/>
          <w:szCs w:val="28"/>
          <w:lang w:val="es"/>
        </w:rPr>
      </w:pPr>
    </w:p>
    <w:p w:rsidR="00BE2B9A" w:rsidRDefault="00BE2B9A" w:rsidP="00BE2B9A">
      <w:pPr>
        <w:pStyle w:val="Sinespaciado"/>
        <w:jc w:val="center"/>
        <w:rPr>
          <w:rFonts w:ascii="Arial" w:eastAsia="Arial" w:hAnsi="Arial" w:cs="Arial"/>
          <w:b/>
          <w:sz w:val="32"/>
          <w:szCs w:val="32"/>
          <w:lang w:val="es"/>
        </w:rPr>
      </w:pPr>
      <w:r w:rsidRPr="00BE2B9A">
        <w:rPr>
          <w:rFonts w:ascii="Arial" w:eastAsia="Arial" w:hAnsi="Arial" w:cs="Arial"/>
          <w:b/>
          <w:sz w:val="32"/>
          <w:szCs w:val="32"/>
          <w:lang w:val="es"/>
        </w:rPr>
        <w:t>GOBIE</w:t>
      </w:r>
      <w:r w:rsidRPr="00BE2B9A">
        <w:rPr>
          <w:rFonts w:ascii="Arial" w:eastAsia="Arial" w:hAnsi="Arial" w:cs="Arial"/>
          <w:b/>
          <w:sz w:val="32"/>
          <w:szCs w:val="32"/>
          <w:lang w:val="es"/>
        </w:rPr>
        <w:t>RNO MUNICIPAL  DE</w:t>
      </w:r>
      <w:r w:rsidRPr="00BE2B9A">
        <w:rPr>
          <w:rFonts w:ascii="Arial" w:eastAsia="Arial" w:hAnsi="Arial" w:cs="Arial"/>
          <w:b/>
          <w:sz w:val="32"/>
          <w:szCs w:val="32"/>
          <w:lang w:val="es"/>
        </w:rPr>
        <w:t xml:space="preserve"> ZAPOTLÁN </w:t>
      </w:r>
    </w:p>
    <w:p w:rsidR="00BE2B9A" w:rsidRPr="00BE2B9A" w:rsidRDefault="00BE2B9A" w:rsidP="00BE2B9A">
      <w:pPr>
        <w:pStyle w:val="Sinespaciado"/>
        <w:jc w:val="center"/>
        <w:rPr>
          <w:rFonts w:ascii="Arial" w:eastAsia="Arial" w:hAnsi="Arial" w:cs="Arial"/>
          <w:b/>
          <w:sz w:val="32"/>
          <w:szCs w:val="32"/>
          <w:lang w:val="es"/>
        </w:rPr>
      </w:pPr>
      <w:r w:rsidRPr="00BE2B9A">
        <w:rPr>
          <w:rFonts w:ascii="Arial" w:eastAsia="Arial" w:hAnsi="Arial" w:cs="Arial"/>
          <w:b/>
          <w:sz w:val="32"/>
          <w:szCs w:val="32"/>
          <w:lang w:val="es"/>
        </w:rPr>
        <w:t>EL GRANDE JALISCO</w:t>
      </w:r>
    </w:p>
    <w:p w:rsidR="00BE2B9A" w:rsidRDefault="00BE2B9A" w:rsidP="00BE2B9A">
      <w:pPr>
        <w:pStyle w:val="Ttulo1"/>
        <w:jc w:val="center"/>
        <w:rPr>
          <w:b/>
          <w:sz w:val="28"/>
          <w:szCs w:val="28"/>
        </w:rPr>
      </w:pPr>
      <w:r w:rsidRPr="00BE2B9A">
        <w:rPr>
          <w:b/>
          <w:sz w:val="28"/>
          <w:szCs w:val="28"/>
        </w:rPr>
        <w:t>PROVEEDURÍA MUNICIPAL</w:t>
      </w:r>
    </w:p>
    <w:p w:rsidR="00BE2B9A" w:rsidRPr="00BE2B9A" w:rsidRDefault="00BE2B9A" w:rsidP="00BE2B9A"/>
    <w:p w:rsidR="00BE2B9A" w:rsidRDefault="00BE2B9A" w:rsidP="00BE2B9A">
      <w:pPr>
        <w:jc w:val="center"/>
        <w:rPr>
          <w:b/>
          <w:sz w:val="28"/>
          <w:szCs w:val="28"/>
        </w:rPr>
      </w:pPr>
      <w:r w:rsidRPr="00BE2B9A">
        <w:rPr>
          <w:b/>
          <w:sz w:val="28"/>
          <w:szCs w:val="28"/>
        </w:rPr>
        <w:t>COMITÉ  DE DE COMPRAS GUBERNAMENTALES, CONTRATACIÓN DE SERVICIOS, ARRENDAMIENTOS Y ENAJENACIONES, PARA EL MUNICIPIO DE ZAPOTLÁN EL GRANDE.</w:t>
      </w:r>
    </w:p>
    <w:p w:rsidR="00BE2B9A" w:rsidRPr="00BE2B9A" w:rsidRDefault="00BE2B9A" w:rsidP="00BE2B9A">
      <w:pPr>
        <w:jc w:val="center"/>
        <w:rPr>
          <w:b/>
          <w:sz w:val="28"/>
          <w:szCs w:val="28"/>
        </w:rPr>
      </w:pPr>
    </w:p>
    <w:p w:rsidR="00BE2B9A" w:rsidRPr="00BE2B9A" w:rsidRDefault="00BE2B9A" w:rsidP="00BE2B9A">
      <w:pPr>
        <w:jc w:val="center"/>
        <w:rPr>
          <w:b/>
          <w:sz w:val="28"/>
          <w:szCs w:val="28"/>
        </w:rPr>
      </w:pPr>
      <w:r w:rsidRPr="00BE2B9A">
        <w:rPr>
          <w:b/>
          <w:sz w:val="28"/>
          <w:szCs w:val="28"/>
        </w:rPr>
        <w:t>LICITACIÓN PÚBLICA LOCAL 017/2020</w:t>
      </w:r>
    </w:p>
    <w:p w:rsidR="00B50481" w:rsidRDefault="00B50481">
      <w:pPr>
        <w:spacing w:before="120" w:after="120"/>
        <w:jc w:val="center"/>
        <w:rPr>
          <w:rFonts w:ascii="Proxima Nova" w:eastAsia="Proxima Nova" w:hAnsi="Proxima Nova" w:cs="Proxima Nova"/>
          <w:b/>
          <w:color w:val="A63272"/>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50481">
        <w:trPr>
          <w:jc w:val="center"/>
        </w:trPr>
        <w:tc>
          <w:tcPr>
            <w:tcW w:w="9029" w:type="dxa"/>
            <w:tcBorders>
              <w:top w:val="single" w:sz="8" w:space="0" w:color="FFFFFF"/>
              <w:left w:val="single" w:sz="8" w:space="0" w:color="FFFFFF"/>
              <w:bottom w:val="single" w:sz="8" w:space="0" w:color="FFFFFF"/>
              <w:right w:val="single" w:sz="8" w:space="0" w:color="FFFFFF"/>
            </w:tcBorders>
            <w:shd w:val="clear" w:color="auto" w:fill="E69138"/>
            <w:tcMar>
              <w:top w:w="100" w:type="dxa"/>
              <w:left w:w="100" w:type="dxa"/>
              <w:bottom w:w="100" w:type="dxa"/>
              <w:right w:w="100" w:type="dxa"/>
            </w:tcMar>
            <w:vAlign w:val="center"/>
          </w:tcPr>
          <w:p w:rsidR="00B50481" w:rsidRDefault="00CA2317">
            <w:pPr>
              <w:spacing w:line="240" w:lineRule="auto"/>
              <w:jc w:val="center"/>
              <w:rPr>
                <w:rFonts w:ascii="Proxima Nova" w:eastAsia="Proxima Nova" w:hAnsi="Proxima Nova" w:cs="Proxima Nova"/>
                <w:b/>
                <w:color w:val="FFFFFF"/>
                <w:sz w:val="36"/>
                <w:szCs w:val="36"/>
              </w:rPr>
            </w:pPr>
            <w:r>
              <w:rPr>
                <w:rFonts w:ascii="Proxima Nova" w:eastAsia="Proxima Nova" w:hAnsi="Proxima Nova" w:cs="Proxima Nova"/>
                <w:b/>
                <w:color w:val="FFFFFF"/>
                <w:sz w:val="36"/>
                <w:szCs w:val="36"/>
              </w:rPr>
              <w:t>CRITERI</w:t>
            </w:r>
            <w:r w:rsidR="00F66D47">
              <w:rPr>
                <w:rFonts w:ascii="Proxima Nova" w:eastAsia="Proxima Nova" w:hAnsi="Proxima Nova" w:cs="Proxima Nova"/>
                <w:b/>
                <w:color w:val="FFFFFF"/>
                <w:sz w:val="36"/>
                <w:szCs w:val="36"/>
              </w:rPr>
              <w:t>OS DE EVALUACIÓN Y SELECCIÓN</w:t>
            </w:r>
          </w:p>
        </w:tc>
      </w:tr>
      <w:tr w:rsidR="00B50481">
        <w:trPr>
          <w:jc w:val="center"/>
        </w:trPr>
        <w:tc>
          <w:tcPr>
            <w:tcW w:w="902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B50481" w:rsidRDefault="00B50481" w:rsidP="00D44200">
            <w:pPr>
              <w:spacing w:line="240" w:lineRule="auto"/>
              <w:rPr>
                <w:rFonts w:ascii="Proxima Nova" w:eastAsia="Proxima Nova" w:hAnsi="Proxima Nova" w:cs="Proxima Nova"/>
                <w:b/>
                <w:color w:val="A63272"/>
                <w:sz w:val="36"/>
                <w:szCs w:val="36"/>
              </w:rPr>
            </w:pPr>
          </w:p>
        </w:tc>
      </w:tr>
    </w:tbl>
    <w:p w:rsidR="00B50481" w:rsidRDefault="00CA2317" w:rsidP="006E59E8">
      <w:pPr>
        <w:spacing w:before="120" w:after="120"/>
        <w:rPr>
          <w:rFonts w:ascii="Proxima Nova" w:eastAsia="Proxima Nova" w:hAnsi="Proxima Nova" w:cs="Proxima Nova"/>
          <w:b/>
          <w:color w:val="E69138"/>
          <w:sz w:val="28"/>
          <w:szCs w:val="28"/>
        </w:rPr>
      </w:pPr>
      <w:r w:rsidRPr="00BE2B9A">
        <w:rPr>
          <w:rFonts w:ascii="Proxima Nova" w:eastAsia="Proxima Nova" w:hAnsi="Proxima Nova" w:cs="Proxima Nova"/>
          <w:b/>
          <w:color w:val="E69138"/>
          <w:sz w:val="28"/>
          <w:szCs w:val="28"/>
        </w:rPr>
        <w:t>DENOMINACIÓN DE LA LICITACIÓN:</w:t>
      </w:r>
    </w:p>
    <w:p w:rsidR="00BE2B9A" w:rsidRPr="00BE2B9A" w:rsidRDefault="00BE2B9A" w:rsidP="006E59E8">
      <w:pPr>
        <w:spacing w:before="120" w:after="120"/>
        <w:rPr>
          <w:rFonts w:ascii="Proxima Nova" w:eastAsia="Proxima Nova" w:hAnsi="Proxima Nova" w:cs="Proxima Nova"/>
          <w:b/>
          <w:color w:val="E69138"/>
          <w:sz w:val="28"/>
          <w:szCs w:val="28"/>
        </w:rPr>
      </w:pPr>
    </w:p>
    <w:p w:rsidR="00BE2B9A" w:rsidRDefault="00BE2B9A" w:rsidP="00F66D47">
      <w:pPr>
        <w:jc w:val="center"/>
        <w:rPr>
          <w:b/>
          <w:sz w:val="24"/>
          <w:szCs w:val="24"/>
        </w:rPr>
      </w:pPr>
    </w:p>
    <w:p w:rsidR="00F66D47" w:rsidRPr="00BE2B9A" w:rsidRDefault="00F66D47" w:rsidP="00F66D47">
      <w:pPr>
        <w:jc w:val="center"/>
        <w:rPr>
          <w:sz w:val="32"/>
          <w:szCs w:val="32"/>
          <w:lang w:eastAsia="es-ES"/>
        </w:rPr>
      </w:pPr>
      <w:r w:rsidRPr="00BE2B9A">
        <w:rPr>
          <w:b/>
          <w:sz w:val="32"/>
          <w:szCs w:val="32"/>
        </w:rPr>
        <w:t>“ADQUISICIÓN DE PROYECTO DEL PLAN MAESTRO DE LA CUENCA ENDORREICA DE ZAPOTLÁN EL GRANDE, JALISCO”</w:t>
      </w:r>
    </w:p>
    <w:p w:rsidR="00B50481" w:rsidRDefault="00B50481">
      <w:pPr>
        <w:spacing w:before="120" w:after="120"/>
        <w:jc w:val="both"/>
        <w:rPr>
          <w:rFonts w:ascii="Proxima Nova" w:eastAsia="Proxima Nova" w:hAnsi="Proxima Nova" w:cs="Proxima Nova"/>
          <w:b/>
          <w:color w:val="E69138"/>
          <w:sz w:val="24"/>
          <w:szCs w:val="24"/>
        </w:rPr>
      </w:pPr>
    </w:p>
    <w:p w:rsidR="00BE2B9A" w:rsidRDefault="00BE2B9A">
      <w:pPr>
        <w:spacing w:before="120" w:after="120"/>
        <w:jc w:val="both"/>
        <w:rPr>
          <w:rFonts w:ascii="Proxima Nova" w:eastAsia="Proxima Nova" w:hAnsi="Proxima Nova" w:cs="Proxima Nova"/>
          <w:b/>
          <w:color w:val="E69138"/>
          <w:sz w:val="24"/>
          <w:szCs w:val="24"/>
        </w:rPr>
      </w:pPr>
    </w:p>
    <w:p w:rsidR="00BE2B9A" w:rsidRDefault="00BE2B9A">
      <w:pPr>
        <w:spacing w:before="120" w:after="120"/>
        <w:jc w:val="both"/>
        <w:rPr>
          <w:rFonts w:ascii="Proxima Nova" w:eastAsia="Proxima Nova" w:hAnsi="Proxima Nova" w:cs="Proxima Nova"/>
          <w:b/>
          <w:color w:val="E69138"/>
          <w:sz w:val="24"/>
          <w:szCs w:val="24"/>
        </w:rPr>
      </w:pPr>
    </w:p>
    <w:p w:rsidR="00BE2B9A" w:rsidRDefault="00BE2B9A">
      <w:pPr>
        <w:spacing w:before="120" w:after="120"/>
        <w:jc w:val="both"/>
        <w:rPr>
          <w:rFonts w:ascii="Proxima Nova" w:eastAsia="Proxima Nova" w:hAnsi="Proxima Nova" w:cs="Proxima Nova"/>
          <w:b/>
          <w:color w:val="E69138"/>
          <w:sz w:val="24"/>
          <w:szCs w:val="24"/>
        </w:rPr>
      </w:pPr>
    </w:p>
    <w:p w:rsidR="00B50481" w:rsidRDefault="00CA2317">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b/>
          <w:color w:val="E69138"/>
          <w:sz w:val="24"/>
          <w:szCs w:val="24"/>
        </w:rPr>
        <w:lastRenderedPageBreak/>
        <w:t>DESCRIPCIÓN DE LA LICITACIÓN:</w:t>
      </w:r>
    </w:p>
    <w:tbl>
      <w:tblPr>
        <w:tblStyle w:val="a0"/>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650"/>
      </w:tblGrid>
      <w:tr w:rsidR="00B50481">
        <w:tc>
          <w:tcPr>
            <w:tcW w:w="1395"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B50481" w:rsidRDefault="00CA2317">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NÚMERO</w:t>
            </w:r>
          </w:p>
        </w:tc>
        <w:tc>
          <w:tcPr>
            <w:tcW w:w="7650"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B50481" w:rsidRDefault="00CA2317">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PARTIDA</w:t>
            </w:r>
          </w:p>
        </w:tc>
      </w:tr>
      <w:tr w:rsidR="00B50481">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B50481" w:rsidRDefault="00CA2317">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1</w:t>
            </w:r>
          </w:p>
        </w:tc>
        <w:tc>
          <w:tcPr>
            <w:tcW w:w="76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B50481" w:rsidRPr="00F66D47" w:rsidRDefault="00F66D47" w:rsidP="00F66D47">
            <w:pPr>
              <w:jc w:val="center"/>
              <w:rPr>
                <w:sz w:val="24"/>
                <w:szCs w:val="24"/>
                <w:lang w:eastAsia="es-ES"/>
              </w:rPr>
            </w:pPr>
            <w:r>
              <w:rPr>
                <w:b/>
                <w:sz w:val="24"/>
                <w:szCs w:val="24"/>
              </w:rPr>
              <w:t>“ADQUISICIÓ</w:t>
            </w:r>
            <w:r w:rsidRPr="00BF251C">
              <w:rPr>
                <w:b/>
                <w:sz w:val="24"/>
                <w:szCs w:val="24"/>
              </w:rPr>
              <w:t xml:space="preserve">N DE PROYECTO </w:t>
            </w:r>
            <w:r w:rsidRPr="00EC723D">
              <w:rPr>
                <w:b/>
                <w:sz w:val="24"/>
                <w:szCs w:val="24"/>
              </w:rPr>
              <w:t>DEL PLAN MAESTRO DE LA CUENCA ENDORREICA DE ZAPOTLÁN EL GRANDE</w:t>
            </w:r>
            <w:r>
              <w:rPr>
                <w:b/>
                <w:sz w:val="24"/>
                <w:szCs w:val="24"/>
              </w:rPr>
              <w:t>, JALISCO</w:t>
            </w:r>
            <w:r w:rsidRPr="00BF251C">
              <w:rPr>
                <w:b/>
                <w:sz w:val="24"/>
                <w:szCs w:val="24"/>
              </w:rPr>
              <w:t>”</w:t>
            </w:r>
          </w:p>
        </w:tc>
      </w:tr>
    </w:tbl>
    <w:p w:rsidR="00B50481" w:rsidRDefault="00B50481">
      <w:pPr>
        <w:spacing w:before="120" w:after="120"/>
        <w:jc w:val="both"/>
        <w:rPr>
          <w:rFonts w:ascii="Proxima Nova" w:eastAsia="Proxima Nova" w:hAnsi="Proxima Nova" w:cs="Proxima Nova"/>
          <w:color w:val="434343"/>
          <w:sz w:val="24"/>
          <w:szCs w:val="24"/>
        </w:rPr>
      </w:pPr>
    </w:p>
    <w:p w:rsidR="00B50481" w:rsidRDefault="00CA2317" w:rsidP="006E59E8">
      <w:pPr>
        <w:spacing w:before="120" w:after="120"/>
        <w:rPr>
          <w:rFonts w:ascii="Proxima Nova" w:eastAsia="Proxima Nova" w:hAnsi="Proxima Nova" w:cs="Proxima Nova"/>
          <w:b/>
          <w:color w:val="E69138"/>
          <w:sz w:val="24"/>
          <w:szCs w:val="24"/>
        </w:rPr>
      </w:pPr>
      <w:r>
        <w:rPr>
          <w:rFonts w:ascii="Proxima Nova" w:eastAsia="Proxima Nova" w:hAnsi="Proxima Nova" w:cs="Proxima Nova"/>
          <w:b/>
          <w:color w:val="E69138"/>
          <w:sz w:val="24"/>
          <w:szCs w:val="24"/>
        </w:rPr>
        <w:t>PROPUESTA DE ADMINISTRACIÓN FINANCIERA DEL PROYECTO:</w:t>
      </w:r>
    </w:p>
    <w:p w:rsidR="00F66D47" w:rsidRDefault="00F66D47" w:rsidP="00F66D47">
      <w:pPr>
        <w:autoSpaceDE w:val="0"/>
        <w:autoSpaceDN w:val="0"/>
        <w:adjustRightInd w:val="0"/>
        <w:spacing w:line="240" w:lineRule="auto"/>
        <w:jc w:val="both"/>
        <w:rPr>
          <w:rFonts w:ascii="Book Antiqua" w:hAnsi="Book Antiqua"/>
          <w:sz w:val="24"/>
          <w:szCs w:val="24"/>
        </w:rPr>
      </w:pPr>
      <w:r w:rsidRPr="00F66D47">
        <w:rPr>
          <w:rFonts w:ascii="Book Antiqua" w:hAnsi="Book Antiqua"/>
          <w:sz w:val="24"/>
          <w:szCs w:val="24"/>
        </w:rPr>
        <w:t>Una vez ministrada la totalidad de los recursos a este municipio por parte del Gobierno del Estado para los fines de esta Licitación</w:t>
      </w:r>
      <w:r>
        <w:rPr>
          <w:rFonts w:ascii="Book Antiqua" w:hAnsi="Book Antiqua"/>
          <w:sz w:val="24"/>
          <w:szCs w:val="24"/>
        </w:rPr>
        <w:t>, el importe total del PROYECTO</w:t>
      </w:r>
      <w:r w:rsidRPr="00F66D47">
        <w:rPr>
          <w:rFonts w:ascii="Book Antiqua" w:hAnsi="Book Antiqua"/>
          <w:sz w:val="24"/>
          <w:szCs w:val="24"/>
        </w:rPr>
        <w:t xml:space="preserve"> se cubrirá al licitante que resulte favorecido con el resultado del fallo de la manera siguiente: </w:t>
      </w:r>
    </w:p>
    <w:p w:rsidR="004D5549" w:rsidRPr="003726CC" w:rsidRDefault="004D5549" w:rsidP="00F66D47">
      <w:pPr>
        <w:autoSpaceDE w:val="0"/>
        <w:autoSpaceDN w:val="0"/>
        <w:adjustRightInd w:val="0"/>
        <w:spacing w:line="240" w:lineRule="auto"/>
        <w:jc w:val="both"/>
        <w:rPr>
          <w:rFonts w:ascii="Book Antiqua" w:hAnsi="Book Antiqua"/>
          <w:sz w:val="24"/>
          <w:szCs w:val="24"/>
        </w:rPr>
      </w:pPr>
    </w:p>
    <w:tbl>
      <w:tblPr>
        <w:tblStyle w:val="a1"/>
        <w:tblW w:w="9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2344"/>
        <w:gridCol w:w="5452"/>
      </w:tblGrid>
      <w:tr w:rsidR="00F66D47" w:rsidTr="004D5549">
        <w:tc>
          <w:tcPr>
            <w:tcW w:w="1376" w:type="dxa"/>
            <w:shd w:val="clear" w:color="auto" w:fill="666666"/>
            <w:tcMar>
              <w:top w:w="100" w:type="dxa"/>
              <w:left w:w="100" w:type="dxa"/>
              <w:bottom w:w="100" w:type="dxa"/>
              <w:right w:w="100" w:type="dxa"/>
            </w:tcMar>
          </w:tcPr>
          <w:p w:rsidR="00F66D47" w:rsidRDefault="00F66D47">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NÚMERO</w:t>
            </w:r>
          </w:p>
        </w:tc>
        <w:tc>
          <w:tcPr>
            <w:tcW w:w="2344" w:type="dxa"/>
            <w:shd w:val="clear" w:color="auto" w:fill="666666"/>
            <w:tcMar>
              <w:top w:w="100" w:type="dxa"/>
              <w:left w:w="100" w:type="dxa"/>
              <w:bottom w:w="100" w:type="dxa"/>
              <w:right w:w="100" w:type="dxa"/>
            </w:tcMar>
          </w:tcPr>
          <w:p w:rsidR="00F66D47" w:rsidRDefault="00F66D47">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IMPORTE</w:t>
            </w:r>
          </w:p>
        </w:tc>
        <w:tc>
          <w:tcPr>
            <w:tcW w:w="5452" w:type="dxa"/>
            <w:shd w:val="clear" w:color="auto" w:fill="666666"/>
            <w:tcMar>
              <w:top w:w="100" w:type="dxa"/>
              <w:left w:w="100" w:type="dxa"/>
              <w:bottom w:w="100" w:type="dxa"/>
              <w:right w:w="100" w:type="dxa"/>
            </w:tcMar>
          </w:tcPr>
          <w:p w:rsidR="00F66D47" w:rsidRDefault="00F66D47">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CONDICIÓN QUE JUSTIFICA LA SOLICITUD DE PAGO</w:t>
            </w:r>
          </w:p>
        </w:tc>
      </w:tr>
      <w:tr w:rsidR="00F66D47" w:rsidTr="004D5549">
        <w:tc>
          <w:tcPr>
            <w:tcW w:w="1376" w:type="dxa"/>
            <w:shd w:val="clear" w:color="auto" w:fill="auto"/>
            <w:tcMar>
              <w:top w:w="100" w:type="dxa"/>
              <w:left w:w="100" w:type="dxa"/>
              <w:bottom w:w="100" w:type="dxa"/>
              <w:right w:w="100" w:type="dxa"/>
            </w:tcMar>
          </w:tcPr>
          <w:p w:rsidR="004D5549" w:rsidRDefault="004D5549" w:rsidP="004D5549">
            <w:pPr>
              <w:widowControl w:val="0"/>
              <w:spacing w:line="240" w:lineRule="auto"/>
              <w:jc w:val="center"/>
              <w:rPr>
                <w:rFonts w:ascii="Proxima Nova" w:eastAsia="Proxima Nova" w:hAnsi="Proxima Nova" w:cs="Proxima Nova"/>
                <w:b/>
                <w:color w:val="434343"/>
                <w:sz w:val="24"/>
                <w:szCs w:val="24"/>
              </w:rPr>
            </w:pPr>
          </w:p>
          <w:p w:rsidR="004D5549" w:rsidRDefault="004D5549" w:rsidP="004D5549">
            <w:pPr>
              <w:widowControl w:val="0"/>
              <w:spacing w:line="240" w:lineRule="auto"/>
              <w:jc w:val="center"/>
              <w:rPr>
                <w:rFonts w:ascii="Proxima Nova" w:eastAsia="Proxima Nova" w:hAnsi="Proxima Nova" w:cs="Proxima Nova"/>
                <w:b/>
                <w:color w:val="434343"/>
                <w:sz w:val="24"/>
                <w:szCs w:val="24"/>
              </w:rPr>
            </w:pPr>
          </w:p>
          <w:p w:rsidR="00F66D47" w:rsidRDefault="00F66D47" w:rsidP="004D5549">
            <w:pPr>
              <w:widowControl w:val="0"/>
              <w:spacing w:line="240" w:lineRule="auto"/>
              <w:jc w:val="cente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Primera</w:t>
            </w:r>
          </w:p>
        </w:tc>
        <w:tc>
          <w:tcPr>
            <w:tcW w:w="2344" w:type="dxa"/>
            <w:shd w:val="clear" w:color="auto" w:fill="auto"/>
            <w:tcMar>
              <w:top w:w="100" w:type="dxa"/>
              <w:left w:w="100" w:type="dxa"/>
              <w:bottom w:w="100" w:type="dxa"/>
              <w:right w:w="100" w:type="dxa"/>
            </w:tcMar>
          </w:tcPr>
          <w:p w:rsidR="00F66D47" w:rsidRPr="00F66D47" w:rsidRDefault="00F66D47" w:rsidP="00F66D47">
            <w:pPr>
              <w:autoSpaceDE w:val="0"/>
              <w:autoSpaceDN w:val="0"/>
              <w:adjustRightInd w:val="0"/>
              <w:spacing w:line="240" w:lineRule="auto"/>
              <w:jc w:val="both"/>
              <w:rPr>
                <w:rFonts w:ascii="Book Antiqua" w:hAnsi="Book Antiqua"/>
                <w:sz w:val="24"/>
                <w:szCs w:val="24"/>
              </w:rPr>
            </w:pPr>
            <w:r>
              <w:rPr>
                <w:rFonts w:ascii="Proxima Nova" w:eastAsia="Proxima Nova" w:hAnsi="Proxima Nova" w:cs="Proxima Nova"/>
                <w:color w:val="434343"/>
                <w:sz w:val="24"/>
                <w:szCs w:val="24"/>
              </w:rPr>
              <w:t xml:space="preserve">El equivalente al </w:t>
            </w:r>
            <w:r w:rsidRPr="00F66D47">
              <w:rPr>
                <w:rFonts w:ascii="Book Antiqua" w:hAnsi="Book Antiqua"/>
                <w:sz w:val="24"/>
                <w:szCs w:val="24"/>
              </w:rPr>
              <w:t xml:space="preserve">50% (Cincuenta por ciento) </w:t>
            </w:r>
            <w:r>
              <w:rPr>
                <w:rFonts w:ascii="Proxima Nova" w:eastAsia="Proxima Nova" w:hAnsi="Proxima Nova" w:cs="Proxima Nova"/>
                <w:color w:val="434343"/>
                <w:sz w:val="24"/>
                <w:szCs w:val="24"/>
              </w:rPr>
              <w:t xml:space="preserve">del Costo Total </w:t>
            </w:r>
          </w:p>
        </w:tc>
        <w:tc>
          <w:tcPr>
            <w:tcW w:w="5452" w:type="dxa"/>
            <w:shd w:val="clear" w:color="auto" w:fill="auto"/>
            <w:tcMar>
              <w:top w:w="100" w:type="dxa"/>
              <w:left w:w="100" w:type="dxa"/>
              <w:bottom w:w="100" w:type="dxa"/>
              <w:right w:w="100" w:type="dxa"/>
            </w:tcMar>
          </w:tcPr>
          <w:p w:rsidR="00F66D47" w:rsidRDefault="004D5549">
            <w:pPr>
              <w:widowControl w:val="0"/>
              <w:spacing w:line="240" w:lineRule="auto"/>
              <w:jc w:val="both"/>
              <w:rPr>
                <w:rFonts w:ascii="Proxima Nova" w:eastAsia="Proxima Nova" w:hAnsi="Proxima Nova" w:cs="Proxima Nova"/>
                <w:color w:val="434343"/>
                <w:sz w:val="24"/>
                <w:szCs w:val="24"/>
              </w:rPr>
            </w:pPr>
            <w:r>
              <w:rPr>
                <w:rFonts w:ascii="Book Antiqua" w:hAnsi="Book Antiqua"/>
                <w:sz w:val="24"/>
                <w:szCs w:val="24"/>
              </w:rPr>
              <w:t>E</w:t>
            </w:r>
            <w:r w:rsidR="00F66D47" w:rsidRPr="00F66D47">
              <w:rPr>
                <w:rFonts w:ascii="Book Antiqua" w:hAnsi="Book Antiqua"/>
                <w:sz w:val="24"/>
                <w:szCs w:val="24"/>
              </w:rPr>
              <w:t xml:space="preserve">ntregado el documento denominado  “Diagnóstico Territorial” </w:t>
            </w:r>
            <w:r>
              <w:rPr>
                <w:rFonts w:ascii="Book Antiqua" w:hAnsi="Book Antiqua"/>
                <w:sz w:val="24"/>
                <w:szCs w:val="24"/>
              </w:rPr>
              <w:t>una vez</w:t>
            </w:r>
            <w:r w:rsidRPr="00F66D47">
              <w:rPr>
                <w:rFonts w:ascii="Book Antiqua" w:hAnsi="Book Antiqua"/>
                <w:sz w:val="24"/>
                <w:szCs w:val="24"/>
              </w:rPr>
              <w:t xml:space="preserve"> </w:t>
            </w:r>
            <w:r>
              <w:rPr>
                <w:rFonts w:ascii="Proxima Nova" w:eastAsia="Proxima Nova" w:hAnsi="Proxima Nova" w:cs="Proxima Nova"/>
                <w:color w:val="434343"/>
                <w:sz w:val="24"/>
                <w:szCs w:val="24"/>
              </w:rPr>
              <w:t>validado y autorizado</w:t>
            </w:r>
            <w:r w:rsidRPr="00F66D47">
              <w:rPr>
                <w:rFonts w:ascii="Book Antiqua" w:hAnsi="Book Antiqua"/>
                <w:sz w:val="24"/>
                <w:szCs w:val="24"/>
              </w:rPr>
              <w:t xml:space="preserve"> </w:t>
            </w:r>
            <w:r>
              <w:rPr>
                <w:rFonts w:ascii="Book Antiqua" w:hAnsi="Book Antiqua"/>
                <w:sz w:val="24"/>
                <w:szCs w:val="24"/>
              </w:rPr>
              <w:t xml:space="preserve">(a </w:t>
            </w:r>
            <w:r w:rsidRPr="00F66D47">
              <w:rPr>
                <w:rFonts w:ascii="Book Antiqua" w:hAnsi="Book Antiqua"/>
                <w:sz w:val="24"/>
                <w:szCs w:val="24"/>
              </w:rPr>
              <w:t>entera satisfacción</w:t>
            </w:r>
            <w:r>
              <w:rPr>
                <w:rFonts w:ascii="Book Antiqua" w:hAnsi="Book Antiqua"/>
                <w:sz w:val="24"/>
                <w:szCs w:val="24"/>
              </w:rPr>
              <w:t>)</w:t>
            </w:r>
            <w:r w:rsidRPr="00F66D47">
              <w:rPr>
                <w:rFonts w:ascii="Book Antiqua" w:hAnsi="Book Antiqua"/>
                <w:sz w:val="24"/>
                <w:szCs w:val="24"/>
              </w:rPr>
              <w:t xml:space="preserve"> </w:t>
            </w:r>
            <w:r>
              <w:rPr>
                <w:rFonts w:ascii="Proxima Nova" w:eastAsia="Proxima Nova" w:hAnsi="Proxima Nova" w:cs="Proxima Nova"/>
                <w:color w:val="434343"/>
                <w:sz w:val="24"/>
                <w:szCs w:val="24"/>
              </w:rPr>
              <w:t xml:space="preserve">por la Dependencia correspondiente </w:t>
            </w:r>
            <w:r w:rsidRPr="00F66D47">
              <w:rPr>
                <w:rFonts w:ascii="Book Antiqua" w:hAnsi="Book Antiqua"/>
                <w:sz w:val="24"/>
                <w:szCs w:val="24"/>
              </w:rPr>
              <w:t>del Municipio de Zapotlán el Grande.</w:t>
            </w:r>
          </w:p>
        </w:tc>
      </w:tr>
      <w:tr w:rsidR="00F66D47" w:rsidTr="004D5549">
        <w:tc>
          <w:tcPr>
            <w:tcW w:w="1376" w:type="dxa"/>
            <w:shd w:val="clear" w:color="auto" w:fill="auto"/>
            <w:tcMar>
              <w:top w:w="100" w:type="dxa"/>
              <w:left w:w="100" w:type="dxa"/>
              <w:bottom w:w="100" w:type="dxa"/>
              <w:right w:w="100" w:type="dxa"/>
            </w:tcMar>
          </w:tcPr>
          <w:p w:rsidR="004D5549" w:rsidRDefault="004D5549" w:rsidP="004D5549">
            <w:pPr>
              <w:widowControl w:val="0"/>
              <w:spacing w:line="240" w:lineRule="auto"/>
              <w:jc w:val="center"/>
              <w:rPr>
                <w:rFonts w:ascii="Proxima Nova" w:eastAsia="Proxima Nova" w:hAnsi="Proxima Nova" w:cs="Proxima Nova"/>
                <w:b/>
                <w:color w:val="434343"/>
                <w:sz w:val="24"/>
                <w:szCs w:val="24"/>
              </w:rPr>
            </w:pPr>
          </w:p>
          <w:p w:rsidR="004D5549" w:rsidRDefault="004D5549" w:rsidP="004D5549">
            <w:pPr>
              <w:widowControl w:val="0"/>
              <w:spacing w:line="240" w:lineRule="auto"/>
              <w:jc w:val="center"/>
              <w:rPr>
                <w:rFonts w:ascii="Proxima Nova" w:eastAsia="Proxima Nova" w:hAnsi="Proxima Nova" w:cs="Proxima Nova"/>
                <w:b/>
                <w:color w:val="434343"/>
                <w:sz w:val="24"/>
                <w:szCs w:val="24"/>
              </w:rPr>
            </w:pPr>
          </w:p>
          <w:p w:rsidR="00F66D47" w:rsidRDefault="00F66D47" w:rsidP="004D5549">
            <w:pPr>
              <w:widowControl w:val="0"/>
              <w:spacing w:line="240" w:lineRule="auto"/>
              <w:jc w:val="cente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Segunda</w:t>
            </w:r>
          </w:p>
        </w:tc>
        <w:tc>
          <w:tcPr>
            <w:tcW w:w="2344" w:type="dxa"/>
            <w:shd w:val="clear" w:color="auto" w:fill="auto"/>
            <w:tcMar>
              <w:top w:w="100" w:type="dxa"/>
              <w:left w:w="100" w:type="dxa"/>
              <w:bottom w:w="100" w:type="dxa"/>
              <w:right w:w="100" w:type="dxa"/>
            </w:tcMar>
          </w:tcPr>
          <w:p w:rsidR="00F66D47" w:rsidRDefault="00F66D47" w:rsidP="004D5549">
            <w:pPr>
              <w:widowControl w:val="0"/>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El equivalente al </w:t>
            </w:r>
            <w:r w:rsidRPr="00F66D47">
              <w:rPr>
                <w:rFonts w:ascii="Book Antiqua" w:hAnsi="Book Antiqua"/>
                <w:sz w:val="24"/>
                <w:szCs w:val="24"/>
              </w:rPr>
              <w:t xml:space="preserve">50% (Cincuenta por ciento) </w:t>
            </w:r>
            <w:r>
              <w:rPr>
                <w:rFonts w:ascii="Proxima Nova" w:eastAsia="Proxima Nova" w:hAnsi="Proxima Nova" w:cs="Proxima Nova"/>
                <w:color w:val="434343"/>
                <w:sz w:val="24"/>
                <w:szCs w:val="24"/>
              </w:rPr>
              <w:t xml:space="preserve">del Costo Total </w:t>
            </w:r>
          </w:p>
        </w:tc>
        <w:tc>
          <w:tcPr>
            <w:tcW w:w="5452" w:type="dxa"/>
            <w:shd w:val="clear" w:color="auto" w:fill="auto"/>
            <w:tcMar>
              <w:top w:w="100" w:type="dxa"/>
              <w:left w:w="100" w:type="dxa"/>
              <w:bottom w:w="100" w:type="dxa"/>
              <w:right w:w="100" w:type="dxa"/>
            </w:tcMar>
          </w:tcPr>
          <w:p w:rsidR="00F66D47" w:rsidRPr="004D5549" w:rsidRDefault="004D5549" w:rsidP="004D5549">
            <w:pPr>
              <w:autoSpaceDE w:val="0"/>
              <w:autoSpaceDN w:val="0"/>
              <w:adjustRightInd w:val="0"/>
              <w:spacing w:line="240" w:lineRule="auto"/>
              <w:jc w:val="both"/>
              <w:rPr>
                <w:rFonts w:ascii="Book Antiqua" w:hAnsi="Book Antiqua"/>
                <w:sz w:val="24"/>
                <w:szCs w:val="24"/>
              </w:rPr>
            </w:pPr>
            <w:r>
              <w:rPr>
                <w:rFonts w:ascii="Book Antiqua" w:hAnsi="Book Antiqua"/>
                <w:sz w:val="24"/>
                <w:szCs w:val="24"/>
              </w:rPr>
              <w:t>A</w:t>
            </w:r>
            <w:r w:rsidRPr="00F66D47">
              <w:rPr>
                <w:rFonts w:ascii="Book Antiqua" w:hAnsi="Book Antiqua"/>
                <w:sz w:val="24"/>
                <w:szCs w:val="24"/>
              </w:rPr>
              <w:t xml:space="preserve"> la entrega del documento denominado “Agenda Territorial” </w:t>
            </w:r>
            <w:r>
              <w:rPr>
                <w:rFonts w:ascii="Book Antiqua" w:hAnsi="Book Antiqua"/>
                <w:sz w:val="24"/>
                <w:szCs w:val="24"/>
              </w:rPr>
              <w:t>una vez</w:t>
            </w:r>
            <w:r w:rsidRPr="00F66D47">
              <w:rPr>
                <w:rFonts w:ascii="Book Antiqua" w:hAnsi="Book Antiqua"/>
                <w:sz w:val="24"/>
                <w:szCs w:val="24"/>
              </w:rPr>
              <w:t xml:space="preserve"> </w:t>
            </w:r>
            <w:r>
              <w:rPr>
                <w:rFonts w:ascii="Proxima Nova" w:eastAsia="Proxima Nova" w:hAnsi="Proxima Nova" w:cs="Proxima Nova"/>
                <w:color w:val="434343"/>
                <w:sz w:val="24"/>
                <w:szCs w:val="24"/>
              </w:rPr>
              <w:t>validado y autorizado</w:t>
            </w:r>
            <w:r w:rsidRPr="00F66D47">
              <w:rPr>
                <w:rFonts w:ascii="Book Antiqua" w:hAnsi="Book Antiqua"/>
                <w:sz w:val="24"/>
                <w:szCs w:val="24"/>
              </w:rPr>
              <w:t xml:space="preserve"> </w:t>
            </w:r>
            <w:r>
              <w:rPr>
                <w:rFonts w:ascii="Book Antiqua" w:hAnsi="Book Antiqua"/>
                <w:sz w:val="24"/>
                <w:szCs w:val="24"/>
              </w:rPr>
              <w:t xml:space="preserve">(a </w:t>
            </w:r>
            <w:r w:rsidRPr="00F66D47">
              <w:rPr>
                <w:rFonts w:ascii="Book Antiqua" w:hAnsi="Book Antiqua"/>
                <w:sz w:val="24"/>
                <w:szCs w:val="24"/>
              </w:rPr>
              <w:t>entera satisfacción</w:t>
            </w:r>
            <w:r>
              <w:rPr>
                <w:rFonts w:ascii="Book Antiqua" w:hAnsi="Book Antiqua"/>
                <w:sz w:val="24"/>
                <w:szCs w:val="24"/>
              </w:rPr>
              <w:t>)</w:t>
            </w:r>
            <w:r w:rsidRPr="00F66D47">
              <w:rPr>
                <w:rFonts w:ascii="Book Antiqua" w:hAnsi="Book Antiqua"/>
                <w:sz w:val="24"/>
                <w:szCs w:val="24"/>
              </w:rPr>
              <w:t xml:space="preserve"> </w:t>
            </w:r>
            <w:r>
              <w:rPr>
                <w:rFonts w:ascii="Proxima Nova" w:eastAsia="Proxima Nova" w:hAnsi="Proxima Nova" w:cs="Proxima Nova"/>
                <w:color w:val="434343"/>
                <w:sz w:val="24"/>
                <w:szCs w:val="24"/>
              </w:rPr>
              <w:t xml:space="preserve">por la Dependencia correspondiente </w:t>
            </w:r>
            <w:r w:rsidRPr="00F66D47">
              <w:rPr>
                <w:rFonts w:ascii="Book Antiqua" w:hAnsi="Book Antiqua"/>
                <w:sz w:val="24"/>
                <w:szCs w:val="24"/>
              </w:rPr>
              <w:t>del Municipio de Zapotlán el Grande.</w:t>
            </w:r>
          </w:p>
        </w:tc>
      </w:tr>
    </w:tbl>
    <w:p w:rsidR="009167D4" w:rsidRDefault="009167D4" w:rsidP="00D44200">
      <w:pPr>
        <w:spacing w:before="120" w:after="120"/>
        <w:jc w:val="center"/>
        <w:rPr>
          <w:rFonts w:ascii="Proxima Nova" w:eastAsia="Proxima Nova" w:hAnsi="Proxima Nova" w:cs="Proxima Nova"/>
          <w:b/>
          <w:color w:val="FF9900"/>
          <w:sz w:val="28"/>
          <w:szCs w:val="28"/>
        </w:rPr>
      </w:pPr>
    </w:p>
    <w:p w:rsidR="00B50481" w:rsidRDefault="00CA2317" w:rsidP="009167D4">
      <w:pPr>
        <w:spacing w:before="120" w:after="120"/>
        <w:jc w:val="center"/>
        <w:rPr>
          <w:rFonts w:ascii="Proxima Nova" w:eastAsia="Proxima Nova" w:hAnsi="Proxima Nova" w:cs="Proxima Nova"/>
          <w:b/>
          <w:i/>
          <w:color w:val="434343"/>
          <w:sz w:val="28"/>
          <w:szCs w:val="28"/>
        </w:rPr>
      </w:pPr>
      <w:r>
        <w:rPr>
          <w:rFonts w:ascii="Proxima Nova" w:eastAsia="Proxima Nova" w:hAnsi="Proxima Nova" w:cs="Proxima Nova"/>
          <w:b/>
          <w:color w:val="FF9900"/>
          <w:sz w:val="28"/>
          <w:szCs w:val="28"/>
        </w:rPr>
        <w:t>EVALUACIÓN DE LAS PROPUESTAS DE PROVEEDORES EN EL SISTEMA DE PUNTOS Y PORCENTAJES:</w:t>
      </w:r>
    </w:p>
    <w:p w:rsidR="00B50481" w:rsidRDefault="00B50481">
      <w:pPr>
        <w:spacing w:before="120" w:after="120"/>
        <w:jc w:val="both"/>
        <w:rPr>
          <w:rFonts w:ascii="Proxima Nova" w:eastAsia="Proxima Nova" w:hAnsi="Proxima Nova" w:cs="Proxima Nova"/>
          <w:b/>
          <w:i/>
          <w:color w:val="434343"/>
          <w:sz w:val="24"/>
          <w:szCs w:val="24"/>
        </w:rPr>
      </w:pPr>
    </w:p>
    <w:p w:rsidR="00B50481" w:rsidRDefault="00CA2317">
      <w:pPr>
        <w:spacing w:before="120" w:after="120"/>
        <w:jc w:val="both"/>
        <w:rPr>
          <w:rFonts w:ascii="Proxima Nova" w:eastAsia="Proxima Nova" w:hAnsi="Proxima Nova" w:cs="Proxima Nova"/>
          <w:i/>
          <w:color w:val="434343"/>
          <w:sz w:val="24"/>
          <w:szCs w:val="24"/>
        </w:rPr>
      </w:pPr>
      <w:r>
        <w:rPr>
          <w:rFonts w:ascii="Proxima Nova" w:eastAsia="Proxima Nova" w:hAnsi="Proxima Nova" w:cs="Proxima Nova"/>
          <w:b/>
          <w:color w:val="434343"/>
          <w:sz w:val="24"/>
          <w:szCs w:val="24"/>
        </w:rPr>
        <w:t>CRITERIO 1. CAPACIDAD Y CONOCIMIENTOS DEL LICITANTE.</w:t>
      </w:r>
    </w:p>
    <w:p w:rsidR="006E59E8" w:rsidRDefault="006E59E8" w:rsidP="006E59E8">
      <w:pPr>
        <w:spacing w:before="120" w:after="120" w:line="240" w:lineRule="auto"/>
        <w:jc w:val="both"/>
        <w:rPr>
          <w:rFonts w:ascii="Nutmeg Bold" w:eastAsia="Nutmeg Bold" w:hAnsi="Nutmeg Bold" w:cs="Nutmeg Bold"/>
        </w:rPr>
      </w:pP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6E59E8" w:rsidTr="00354DBB">
        <w:trPr>
          <w:trHeight w:val="220"/>
        </w:trPr>
        <w:tc>
          <w:tcPr>
            <w:tcW w:w="8958" w:type="dxa"/>
            <w:shd w:val="clear" w:color="auto" w:fill="FFFFFF"/>
          </w:tcPr>
          <w:p w:rsidR="006E59E8" w:rsidRDefault="006E59E8" w:rsidP="00354DBB">
            <w:pPr>
              <w:keepNext/>
              <w:keepLines/>
              <w:spacing w:before="200"/>
              <w:jc w:val="center"/>
              <w:rPr>
                <w:rFonts w:ascii="Nutmeg Bold" w:eastAsia="Nutmeg Bold" w:hAnsi="Nutmeg Bold" w:cs="Nutmeg Bold"/>
                <w:color w:val="4F81BD"/>
                <w:sz w:val="24"/>
                <w:szCs w:val="24"/>
              </w:rPr>
            </w:pPr>
            <w:bookmarkStart w:id="0" w:name="_3znysh7" w:colFirst="0" w:colLast="0"/>
            <w:bookmarkEnd w:id="0"/>
            <w:r>
              <w:rPr>
                <w:rFonts w:ascii="Nutmeg Bold" w:eastAsia="Nutmeg Bold" w:hAnsi="Nutmeg Bold" w:cs="Nutmeg Bold"/>
                <w:color w:val="4F81BD"/>
                <w:sz w:val="24"/>
                <w:szCs w:val="24"/>
              </w:rPr>
              <w:t>Perfil del equipo de trabajo que realizará el proyecto</w:t>
            </w:r>
          </w:p>
        </w:tc>
      </w:tr>
    </w:tbl>
    <w:p w:rsidR="006E59E8" w:rsidRDefault="006E59E8" w:rsidP="006E59E8">
      <w:pPr>
        <w:spacing w:line="240" w:lineRule="auto"/>
        <w:jc w:val="both"/>
        <w:rPr>
          <w:rFonts w:ascii="Nutmeg Bold" w:eastAsia="Nutmeg Bold" w:hAnsi="Nutmeg Bold" w:cs="Nutmeg Bold"/>
        </w:rPr>
      </w:pPr>
    </w:p>
    <w:p w:rsidR="006E59E8" w:rsidRDefault="006E59E8" w:rsidP="006E59E8">
      <w:pPr>
        <w:spacing w:after="120" w:line="240" w:lineRule="auto"/>
        <w:jc w:val="both"/>
        <w:rPr>
          <w:rFonts w:ascii="Nutmeg Bold" w:eastAsia="Nutmeg Bold" w:hAnsi="Nutmeg Bold" w:cs="Nutmeg Bold"/>
        </w:rPr>
      </w:pPr>
      <w:r>
        <w:rPr>
          <w:rFonts w:ascii="Nutmeg Bold" w:eastAsia="Nutmeg Bold" w:hAnsi="Nutmeg Bold" w:cs="Nutmeg Bold"/>
        </w:rPr>
        <w:t xml:space="preserve">La experiencia deberá de ser acreditada con los correspondientes currículos de las instituciones o empresas participantes, así como el currículo de las personas que conforman su plantilla de trabajo, los cuales deberán tener por lo menos: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Planeación ambiental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Planeación Urbana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Coordinación de equipos de trabajo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Políticas públicas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lastRenderedPageBreak/>
        <w:t xml:space="preserve">Legislación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Urbanismo</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Edafología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Ecosistemas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Biodiversidad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Hidrología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Cambio climático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Geomática</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Movilidad</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 xml:space="preserve">Equidad de Género </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Gestión del Riesgo y Desastres</w:t>
      </w:r>
    </w:p>
    <w:p w:rsidR="006E59E8" w:rsidRDefault="006E59E8" w:rsidP="006E59E8">
      <w:pPr>
        <w:widowControl w:val="0"/>
        <w:numPr>
          <w:ilvl w:val="0"/>
          <w:numId w:val="14"/>
        </w:numPr>
        <w:spacing w:line="240" w:lineRule="auto"/>
        <w:ind w:left="1276" w:hanging="556"/>
        <w:contextualSpacing/>
        <w:jc w:val="both"/>
        <w:rPr>
          <w:rFonts w:ascii="Nutmeg Bold" w:eastAsia="Nutmeg Bold" w:hAnsi="Nutmeg Bold" w:cs="Nutmeg Bold"/>
        </w:rPr>
      </w:pPr>
      <w:r>
        <w:rPr>
          <w:rFonts w:ascii="Nutmeg Bold" w:eastAsia="Nutmeg Bold" w:hAnsi="Nutmeg Bold" w:cs="Nutmeg Bold"/>
        </w:rPr>
        <w:t>Resiliencia</w:t>
      </w:r>
    </w:p>
    <w:p w:rsidR="006E59E8" w:rsidRDefault="006E59E8" w:rsidP="006E59E8">
      <w:pPr>
        <w:spacing w:line="240" w:lineRule="auto"/>
        <w:ind w:left="720"/>
        <w:jc w:val="both"/>
        <w:rPr>
          <w:rFonts w:ascii="Nutmeg Bold" w:eastAsia="Nutmeg Bold" w:hAnsi="Nutmeg Bold" w:cs="Nutmeg Bold"/>
        </w:rPr>
      </w:pPr>
    </w:p>
    <w:p w:rsidR="006E59E8" w:rsidRDefault="006E59E8" w:rsidP="006E59E8">
      <w:pPr>
        <w:spacing w:after="120" w:line="240" w:lineRule="auto"/>
        <w:jc w:val="both"/>
        <w:rPr>
          <w:rFonts w:ascii="Nutmeg Bold" w:eastAsia="Nutmeg Bold" w:hAnsi="Nutmeg Bold" w:cs="Nutmeg Bold"/>
        </w:rPr>
      </w:pPr>
      <w:r>
        <w:rPr>
          <w:rFonts w:ascii="Nutmeg Bold" w:eastAsia="Nutmeg Bold" w:hAnsi="Nutmeg Bold" w:cs="Nutmeg Bold"/>
        </w:rPr>
        <w:t>Para el caso del coordinador del estudio se recomienda experiencia comprobable en los cinco primeros temas, mientras que para los otros especialistas experiencia mínima comprobable de 3 años y, en el caso particular del especialista en geomática, deberá contar con experiencia mínima comprobable de 5 años en manejo y análisis de Sistemas de Información Geográfica.</w:t>
      </w:r>
    </w:p>
    <w:p w:rsidR="006E59E8" w:rsidRDefault="006E59E8" w:rsidP="006E59E8">
      <w:pPr>
        <w:spacing w:after="120" w:line="240" w:lineRule="auto"/>
        <w:jc w:val="both"/>
        <w:rPr>
          <w:rFonts w:ascii="Nutmeg Bold" w:eastAsia="Nutmeg Bold" w:hAnsi="Nutmeg Bold" w:cs="Nutmeg Bold"/>
        </w:rPr>
      </w:pPr>
      <w:r>
        <w:rPr>
          <w:rFonts w:ascii="Nutmeg Bold" w:eastAsia="Nutmeg Bold" w:hAnsi="Nutmeg Bold" w:cs="Nutmeg Bold"/>
        </w:rPr>
        <w:t>Los criterios específicos que se utilizarán para la evaluación de las proposiciones y adjudicación de los contratos, será a través de los criterios de puntos y porcentajes en consideración del cumplimiento de todos los puntos requeridos de acuerdo a documentación probatoria de acuerdo al siguiente desglose:</w:t>
      </w:r>
    </w:p>
    <w:tbl>
      <w:tblPr>
        <w:tblW w:w="4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776"/>
      </w:tblGrid>
      <w:tr w:rsidR="006E59E8" w:rsidTr="00354DBB">
        <w:trPr>
          <w:jc w:val="center"/>
        </w:trPr>
        <w:tc>
          <w:tcPr>
            <w:tcW w:w="2512" w:type="dxa"/>
          </w:tcPr>
          <w:p w:rsidR="006E59E8" w:rsidRDefault="006E59E8" w:rsidP="00354DBB">
            <w:pPr>
              <w:jc w:val="center"/>
              <w:rPr>
                <w:rFonts w:ascii="Nutmeg Bold" w:eastAsia="Nutmeg Bold" w:hAnsi="Nutmeg Bold" w:cs="Nutmeg Bold"/>
                <w:b/>
                <w:sz w:val="20"/>
                <w:szCs w:val="20"/>
              </w:rPr>
            </w:pPr>
            <w:r>
              <w:rPr>
                <w:rFonts w:ascii="Nutmeg Bold" w:eastAsia="Nutmeg Bold" w:hAnsi="Nutmeg Bold" w:cs="Nutmeg Bold"/>
                <w:b/>
                <w:sz w:val="20"/>
                <w:szCs w:val="20"/>
              </w:rPr>
              <w:t>Criterio de evaluación</w:t>
            </w:r>
          </w:p>
        </w:tc>
        <w:tc>
          <w:tcPr>
            <w:tcW w:w="1776" w:type="dxa"/>
          </w:tcPr>
          <w:p w:rsidR="006E59E8" w:rsidRDefault="006E59E8" w:rsidP="00354DBB">
            <w:pPr>
              <w:jc w:val="center"/>
              <w:rPr>
                <w:rFonts w:ascii="Nutmeg Bold" w:eastAsia="Nutmeg Bold" w:hAnsi="Nutmeg Bold" w:cs="Nutmeg Bold"/>
                <w:b/>
              </w:rPr>
            </w:pPr>
            <w:r>
              <w:rPr>
                <w:rFonts w:ascii="Nutmeg Bold" w:eastAsia="Nutmeg Bold" w:hAnsi="Nutmeg Bold" w:cs="Nutmeg Bold"/>
                <w:b/>
              </w:rPr>
              <w:t xml:space="preserve">Puntaje máximo </w:t>
            </w:r>
          </w:p>
        </w:tc>
      </w:tr>
      <w:tr w:rsidR="006E59E8" w:rsidTr="00354DBB">
        <w:trPr>
          <w:jc w:val="center"/>
        </w:trPr>
        <w:tc>
          <w:tcPr>
            <w:tcW w:w="2512" w:type="dxa"/>
          </w:tcPr>
          <w:p w:rsidR="006E59E8" w:rsidRDefault="006E59E8" w:rsidP="00354DBB">
            <w:pPr>
              <w:rPr>
                <w:rFonts w:ascii="Nutmeg Bold" w:eastAsia="Nutmeg Bold" w:hAnsi="Nutmeg Bold" w:cs="Nutmeg Bold"/>
                <w:b/>
                <w:sz w:val="20"/>
                <w:szCs w:val="20"/>
              </w:rPr>
            </w:pPr>
            <w:r>
              <w:rPr>
                <w:rFonts w:ascii="Nutmeg Bold" w:eastAsia="Nutmeg Bold" w:hAnsi="Nutmeg Bold" w:cs="Nutmeg Bold"/>
                <w:sz w:val="20"/>
                <w:szCs w:val="20"/>
              </w:rPr>
              <w:t>Propuesta técnica presentada</w:t>
            </w:r>
          </w:p>
        </w:tc>
        <w:tc>
          <w:tcPr>
            <w:tcW w:w="1776" w:type="dxa"/>
          </w:tcPr>
          <w:p w:rsidR="006E59E8" w:rsidRDefault="006E59E8" w:rsidP="00354DBB">
            <w:pPr>
              <w:jc w:val="center"/>
              <w:rPr>
                <w:rFonts w:ascii="Nutmeg Bold" w:eastAsia="Nutmeg Bold" w:hAnsi="Nutmeg Bold" w:cs="Nutmeg Bold"/>
                <w:b/>
              </w:rPr>
            </w:pPr>
            <w:r>
              <w:rPr>
                <w:rFonts w:ascii="Nutmeg Bold" w:eastAsia="Nutmeg Bold" w:hAnsi="Nutmeg Bold" w:cs="Nutmeg Bold"/>
                <w:b/>
              </w:rPr>
              <w:t>30</w:t>
            </w:r>
          </w:p>
        </w:tc>
      </w:tr>
      <w:tr w:rsidR="006E59E8" w:rsidTr="00354DBB">
        <w:trPr>
          <w:jc w:val="center"/>
        </w:trPr>
        <w:tc>
          <w:tcPr>
            <w:tcW w:w="2512" w:type="dxa"/>
          </w:tcPr>
          <w:p w:rsidR="006E59E8" w:rsidRDefault="006E59E8" w:rsidP="00354DBB">
            <w:pPr>
              <w:rPr>
                <w:rFonts w:ascii="Nutmeg Bold" w:eastAsia="Nutmeg Bold" w:hAnsi="Nutmeg Bold" w:cs="Nutmeg Bold"/>
                <w:b/>
                <w:sz w:val="20"/>
                <w:szCs w:val="20"/>
              </w:rPr>
            </w:pPr>
            <w:r>
              <w:rPr>
                <w:rFonts w:ascii="Nutmeg Bold" w:eastAsia="Nutmeg Bold" w:hAnsi="Nutmeg Bold" w:cs="Nutmeg Bold"/>
                <w:sz w:val="20"/>
                <w:szCs w:val="20"/>
              </w:rPr>
              <w:t>Perfil organizacional</w:t>
            </w:r>
          </w:p>
        </w:tc>
        <w:tc>
          <w:tcPr>
            <w:tcW w:w="1776" w:type="dxa"/>
          </w:tcPr>
          <w:p w:rsidR="006E59E8" w:rsidRDefault="006E59E8" w:rsidP="00354DBB">
            <w:pPr>
              <w:jc w:val="center"/>
              <w:rPr>
                <w:rFonts w:ascii="Nutmeg Bold" w:eastAsia="Nutmeg Bold" w:hAnsi="Nutmeg Bold" w:cs="Nutmeg Bold"/>
                <w:b/>
              </w:rPr>
            </w:pPr>
            <w:r>
              <w:rPr>
                <w:rFonts w:ascii="Nutmeg Bold" w:eastAsia="Nutmeg Bold" w:hAnsi="Nutmeg Bold" w:cs="Nutmeg Bold"/>
                <w:b/>
              </w:rPr>
              <w:t>20</w:t>
            </w:r>
          </w:p>
        </w:tc>
      </w:tr>
      <w:tr w:rsidR="006E59E8" w:rsidTr="00354DBB">
        <w:trPr>
          <w:jc w:val="center"/>
        </w:trPr>
        <w:tc>
          <w:tcPr>
            <w:tcW w:w="2512" w:type="dxa"/>
          </w:tcPr>
          <w:p w:rsidR="006E59E8" w:rsidRDefault="006E59E8" w:rsidP="00354DBB">
            <w:pPr>
              <w:rPr>
                <w:rFonts w:ascii="Nutmeg Bold" w:eastAsia="Nutmeg Bold" w:hAnsi="Nutmeg Bold" w:cs="Nutmeg Bold"/>
                <w:b/>
                <w:sz w:val="20"/>
                <w:szCs w:val="20"/>
              </w:rPr>
            </w:pPr>
            <w:r>
              <w:rPr>
                <w:rFonts w:ascii="Nutmeg Bold" w:eastAsia="Nutmeg Bold" w:hAnsi="Nutmeg Bold" w:cs="Nutmeg Bold"/>
                <w:sz w:val="20"/>
                <w:szCs w:val="20"/>
              </w:rPr>
              <w:t>Perfil curricular</w:t>
            </w:r>
          </w:p>
        </w:tc>
        <w:tc>
          <w:tcPr>
            <w:tcW w:w="1776" w:type="dxa"/>
          </w:tcPr>
          <w:p w:rsidR="006E59E8" w:rsidRDefault="006E59E8" w:rsidP="00354DBB">
            <w:pPr>
              <w:jc w:val="center"/>
              <w:rPr>
                <w:rFonts w:ascii="Nutmeg Bold" w:eastAsia="Nutmeg Bold" w:hAnsi="Nutmeg Bold" w:cs="Nutmeg Bold"/>
                <w:b/>
              </w:rPr>
            </w:pPr>
            <w:r>
              <w:rPr>
                <w:rFonts w:ascii="Nutmeg Bold" w:eastAsia="Nutmeg Bold" w:hAnsi="Nutmeg Bold" w:cs="Nutmeg Bold"/>
                <w:b/>
              </w:rPr>
              <w:t>10</w:t>
            </w:r>
          </w:p>
        </w:tc>
      </w:tr>
      <w:tr w:rsidR="006E59E8" w:rsidTr="00354DBB">
        <w:trPr>
          <w:jc w:val="center"/>
        </w:trPr>
        <w:tc>
          <w:tcPr>
            <w:tcW w:w="2512" w:type="dxa"/>
          </w:tcPr>
          <w:p w:rsidR="006E59E8" w:rsidRDefault="006E59E8" w:rsidP="00354DBB">
            <w:pPr>
              <w:rPr>
                <w:rFonts w:ascii="Nutmeg Bold" w:eastAsia="Nutmeg Bold" w:hAnsi="Nutmeg Bold" w:cs="Nutmeg Bold"/>
                <w:b/>
                <w:sz w:val="20"/>
                <w:szCs w:val="20"/>
              </w:rPr>
            </w:pPr>
            <w:r>
              <w:rPr>
                <w:rFonts w:ascii="Nutmeg Bold" w:eastAsia="Nutmeg Bold" w:hAnsi="Nutmeg Bold" w:cs="Nutmeg Bold"/>
                <w:sz w:val="20"/>
                <w:szCs w:val="20"/>
              </w:rPr>
              <w:t>equipo de trabajo</w:t>
            </w:r>
          </w:p>
        </w:tc>
        <w:tc>
          <w:tcPr>
            <w:tcW w:w="1776" w:type="dxa"/>
          </w:tcPr>
          <w:p w:rsidR="006E59E8" w:rsidRDefault="006E59E8" w:rsidP="00354DBB">
            <w:pPr>
              <w:jc w:val="center"/>
              <w:rPr>
                <w:rFonts w:ascii="Nutmeg Bold" w:eastAsia="Nutmeg Bold" w:hAnsi="Nutmeg Bold" w:cs="Nutmeg Bold"/>
                <w:b/>
              </w:rPr>
            </w:pPr>
            <w:r>
              <w:rPr>
                <w:rFonts w:ascii="Nutmeg Bold" w:eastAsia="Nutmeg Bold" w:hAnsi="Nutmeg Bold" w:cs="Nutmeg Bold"/>
                <w:b/>
              </w:rPr>
              <w:t>10</w:t>
            </w:r>
          </w:p>
        </w:tc>
      </w:tr>
      <w:tr w:rsidR="006E59E8" w:rsidTr="00354DBB">
        <w:trPr>
          <w:jc w:val="center"/>
        </w:trPr>
        <w:tc>
          <w:tcPr>
            <w:tcW w:w="2512" w:type="dxa"/>
          </w:tcPr>
          <w:p w:rsidR="006E59E8" w:rsidRDefault="006E59E8" w:rsidP="00354DBB">
            <w:pPr>
              <w:rPr>
                <w:rFonts w:ascii="Nutmeg Bold" w:eastAsia="Nutmeg Bold" w:hAnsi="Nutmeg Bold" w:cs="Nutmeg Bold"/>
                <w:sz w:val="20"/>
                <w:szCs w:val="20"/>
              </w:rPr>
            </w:pPr>
            <w:r>
              <w:rPr>
                <w:rFonts w:ascii="Nutmeg Bold" w:eastAsia="Nutmeg Bold" w:hAnsi="Nutmeg Bold" w:cs="Nutmeg Bold"/>
                <w:sz w:val="20"/>
                <w:szCs w:val="20"/>
              </w:rPr>
              <w:t>Propuesta económica</w:t>
            </w:r>
          </w:p>
        </w:tc>
        <w:tc>
          <w:tcPr>
            <w:tcW w:w="1776" w:type="dxa"/>
          </w:tcPr>
          <w:p w:rsidR="009167D4" w:rsidRDefault="006E59E8" w:rsidP="009167D4">
            <w:pPr>
              <w:jc w:val="center"/>
              <w:rPr>
                <w:rFonts w:ascii="Nutmeg Bold" w:eastAsia="Nutmeg Bold" w:hAnsi="Nutmeg Bold" w:cs="Nutmeg Bold"/>
                <w:b/>
              </w:rPr>
            </w:pPr>
            <w:r>
              <w:rPr>
                <w:rFonts w:ascii="Nutmeg Bold" w:eastAsia="Nutmeg Bold" w:hAnsi="Nutmeg Bold" w:cs="Nutmeg Bold"/>
                <w:b/>
              </w:rPr>
              <w:t>30</w:t>
            </w:r>
          </w:p>
        </w:tc>
      </w:tr>
    </w:tbl>
    <w:p w:rsidR="009167D4" w:rsidRDefault="009167D4" w:rsidP="009167D4">
      <w:pPr>
        <w:spacing w:before="120" w:line="360" w:lineRule="auto"/>
        <w:rPr>
          <w:rFonts w:ascii="Nutmeg Bold" w:eastAsia="Nutmeg Bold" w:hAnsi="Nutmeg Bold" w:cs="Nutmeg Bold"/>
        </w:rPr>
      </w:pPr>
      <w:bookmarkStart w:id="1" w:name="_GoBack"/>
      <w:bookmarkEnd w:id="1"/>
    </w:p>
    <w:p w:rsidR="006E59E8" w:rsidRDefault="006E59E8" w:rsidP="009167D4">
      <w:pPr>
        <w:spacing w:before="120" w:line="360" w:lineRule="auto"/>
        <w:rPr>
          <w:rFonts w:ascii="Nutmeg Bold" w:eastAsia="Nutmeg Bold" w:hAnsi="Nutmeg Bold" w:cs="Nutmeg Bold"/>
        </w:rPr>
      </w:pPr>
      <w:r>
        <w:rPr>
          <w:rFonts w:ascii="Nutmeg Bold" w:eastAsia="Nutmeg Bold" w:hAnsi="Nutmeg Bold" w:cs="Nutmeg Bold"/>
        </w:rPr>
        <w:t>La puntuación mínima deberá de ser superior a los 40 puntos.</w:t>
      </w: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6E59E8" w:rsidTr="00354DBB">
        <w:trPr>
          <w:trHeight w:val="220"/>
        </w:trPr>
        <w:tc>
          <w:tcPr>
            <w:tcW w:w="8958" w:type="dxa"/>
            <w:shd w:val="clear" w:color="auto" w:fill="FFFFFF"/>
          </w:tcPr>
          <w:p w:rsidR="006E59E8" w:rsidRDefault="006E59E8" w:rsidP="00354DBB">
            <w:pPr>
              <w:keepNext/>
              <w:keepLines/>
              <w:spacing w:before="200"/>
              <w:jc w:val="center"/>
              <w:rPr>
                <w:rFonts w:ascii="Nutmeg Bold" w:eastAsia="Nutmeg Bold" w:hAnsi="Nutmeg Bold" w:cs="Nutmeg Bold"/>
                <w:color w:val="4F81BD"/>
                <w:sz w:val="24"/>
                <w:szCs w:val="24"/>
              </w:rPr>
            </w:pPr>
            <w:bookmarkStart w:id="2" w:name="_2et92p0" w:colFirst="0" w:colLast="0"/>
            <w:bookmarkEnd w:id="2"/>
            <w:r>
              <w:rPr>
                <w:rFonts w:ascii="Nutmeg Bold" w:eastAsia="Nutmeg Bold" w:hAnsi="Nutmeg Bold" w:cs="Nutmeg Bold"/>
                <w:color w:val="4F81BD"/>
                <w:sz w:val="24"/>
                <w:szCs w:val="24"/>
              </w:rPr>
              <w:t>Confidencialidad</w:t>
            </w:r>
          </w:p>
        </w:tc>
      </w:tr>
    </w:tbl>
    <w:p w:rsidR="006E59E8" w:rsidRDefault="006E59E8" w:rsidP="006E59E8">
      <w:pPr>
        <w:spacing w:line="240" w:lineRule="auto"/>
        <w:rPr>
          <w:rFonts w:ascii="Nutmeg Bold" w:eastAsia="Nutmeg Bold" w:hAnsi="Nutmeg Bold" w:cs="Nutmeg Bold"/>
        </w:rPr>
      </w:pPr>
    </w:p>
    <w:p w:rsidR="006E59E8" w:rsidRDefault="006E59E8" w:rsidP="006E59E8">
      <w:pPr>
        <w:spacing w:before="120" w:after="120" w:line="240" w:lineRule="auto"/>
        <w:jc w:val="both"/>
        <w:rPr>
          <w:rFonts w:ascii="Nutmeg Bold" w:eastAsia="Nutmeg Bold" w:hAnsi="Nutmeg Bold" w:cs="Nutmeg Bold"/>
        </w:rPr>
      </w:pPr>
      <w:bookmarkStart w:id="3" w:name="_tyjcwt" w:colFirst="0" w:colLast="0"/>
      <w:bookmarkEnd w:id="3"/>
      <w:r>
        <w:rPr>
          <w:rFonts w:ascii="Nutmeg Bold" w:eastAsia="Nutmeg Bold" w:hAnsi="Nutmeg Bold" w:cs="Nutmeg Bold"/>
        </w:rPr>
        <w:t xml:space="preserve">Toda información obtenida por el consultor, así como sus informes y los documentos que produzca, relacionados con la ejecución de su contrato, es propiedad de la Junta Intermunicipal de Medio Ambiente para la Gestión Integral de la Cuenca del Río Coahuayana, por lo que deberá ser considerada confidencial, en tanto se da por concluido el proceso administrativo que le dio origen, por lo que no podrán ser divulgados sin autorización expresa y por escrito de la Junta Intermunicipal de Medio Ambiente para la Gestión Integral de la Cuenca del Río Coahuayana. </w:t>
      </w:r>
    </w:p>
    <w:p w:rsidR="009167D4" w:rsidRDefault="009167D4" w:rsidP="006E59E8">
      <w:pPr>
        <w:spacing w:before="120" w:after="120" w:line="240" w:lineRule="auto"/>
        <w:jc w:val="both"/>
        <w:rPr>
          <w:rFonts w:ascii="Nutmeg Bold" w:eastAsia="Nutmeg Bold" w:hAnsi="Nutmeg Bold" w:cs="Nutmeg Bold"/>
        </w:rPr>
      </w:pP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6E59E8" w:rsidTr="00354DBB">
        <w:trPr>
          <w:trHeight w:val="220"/>
        </w:trPr>
        <w:tc>
          <w:tcPr>
            <w:tcW w:w="8958" w:type="dxa"/>
            <w:shd w:val="clear" w:color="auto" w:fill="FFFFFF"/>
          </w:tcPr>
          <w:p w:rsidR="006E59E8" w:rsidRDefault="006E59E8" w:rsidP="00354DBB">
            <w:pPr>
              <w:keepNext/>
              <w:keepLines/>
              <w:spacing w:before="200"/>
              <w:jc w:val="center"/>
              <w:rPr>
                <w:rFonts w:ascii="Nutmeg Bold" w:eastAsia="Nutmeg Bold" w:hAnsi="Nutmeg Bold" w:cs="Nutmeg Bold"/>
                <w:color w:val="4F81BD"/>
                <w:sz w:val="24"/>
                <w:szCs w:val="24"/>
              </w:rPr>
            </w:pPr>
            <w:r>
              <w:rPr>
                <w:rFonts w:ascii="Nutmeg Bold" w:eastAsia="Nutmeg Bold" w:hAnsi="Nutmeg Bold" w:cs="Nutmeg Bold"/>
                <w:color w:val="4F81BD"/>
                <w:sz w:val="24"/>
                <w:szCs w:val="24"/>
              </w:rPr>
              <w:t>Consideraciones generales</w:t>
            </w:r>
          </w:p>
        </w:tc>
      </w:tr>
    </w:tbl>
    <w:p w:rsidR="006E59E8" w:rsidRDefault="006E59E8" w:rsidP="006E59E8">
      <w:pPr>
        <w:spacing w:before="120" w:after="120" w:line="240" w:lineRule="auto"/>
        <w:jc w:val="both"/>
        <w:rPr>
          <w:rFonts w:ascii="Nutmeg Bold" w:eastAsia="Nutmeg Bold" w:hAnsi="Nutmeg Bold" w:cs="Nutmeg Bold"/>
        </w:rPr>
      </w:pPr>
    </w:p>
    <w:p w:rsidR="006E59E8" w:rsidRDefault="006E59E8" w:rsidP="006E59E8">
      <w:pPr>
        <w:widowControl w:val="0"/>
        <w:numPr>
          <w:ilvl w:val="0"/>
          <w:numId w:val="11"/>
        </w:numPr>
        <w:spacing w:after="120" w:line="240" w:lineRule="auto"/>
        <w:ind w:hanging="360"/>
        <w:jc w:val="both"/>
      </w:pPr>
      <w:bookmarkStart w:id="4" w:name="_3dy6vkm" w:colFirst="0" w:colLast="0"/>
      <w:bookmarkEnd w:id="4"/>
      <w:r>
        <w:rPr>
          <w:rFonts w:ascii="Nutmeg Bold" w:eastAsia="Nutmeg Bold" w:hAnsi="Nutmeg Bold" w:cs="Nutmeg Bold"/>
        </w:rPr>
        <w:t xml:space="preserve">La escala de trabajo recomendada relativo a la parte ambiental es de 1:50,000. Se deberá definir una escala gráfica (para mapas impresos) en conjunto entre equipo consultor y entidad licitante. </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El trámite de cada pago deberá venir acompañado de los entregables para cada fase en tres tantos impresos asimismo en tres tantos digitales.</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lastRenderedPageBreak/>
        <w:t>Cada uno de los productos deberá incluir los documentos descriptivos, las bases de datos y los modelos utilizados, incluyendo sus reglas de decisión y las variables utilizadas, además de su presentación cartográfica y sus metadatos correspondientes.</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Los productos de las diversas etapas de formulación del programa, deberán reflejar el análisis y la integración de la información relevante, y no ser una simple transcripción de la información disponible.</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Previo a la validación de los productos (informes de avance o productos terminados), el consultor deberá incorporar las observaciones y comentarios realizados por las autoridades respectivas.</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Los mapas deberán estar integrados en un Sistema de Información Geográfica, en formato shapefile, raster o formato de software de licenciamiento no privativo como es el caso de Qgis (.gpkg) y en sus respectivos proyectos para Arcmap (.mxd) o Qgis (.qpj).</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Cada mapa deberá incluir su metadato de acuerdo a las especificaciones y lineamientos que propone el INEGI, a través de su Guía Metodológica para la Generación e Integración de Metadatos Geográficos conforme a la Norma Técnica para la elaboración de Metadatos Geográficos (NTM).</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El consultor y la autoridad competente realizarán, de manera coordinada, los foros y/o talleres participativos.</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El consultor deberá definir y presentar ante el consejo los métodos y mecanismos de participación social que utilizarán durante los foros y/o talleres.</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La convocatoria a los foros y/o talleres participativos estará a cargo de las autoridades responsables del proceso.</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El consultor será responsable del análisis de los resultados de los foros y/o talleres participativos y su integración en el estudio técnico.</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El consultor tendrá la responsabilidad de la elaboración de los materiales para presentaciones, encuestas y facilitación necesaria para la realización de los foros y/o talleres así como entrevistas.</w:t>
      </w:r>
    </w:p>
    <w:p w:rsidR="006E59E8" w:rsidRDefault="006E59E8" w:rsidP="006E59E8">
      <w:pPr>
        <w:widowControl w:val="0"/>
        <w:numPr>
          <w:ilvl w:val="0"/>
          <w:numId w:val="11"/>
        </w:numPr>
        <w:spacing w:after="120" w:line="240" w:lineRule="auto"/>
        <w:ind w:hanging="360"/>
        <w:jc w:val="both"/>
      </w:pPr>
      <w:r>
        <w:rPr>
          <w:rFonts w:ascii="Nutmeg Bold" w:eastAsia="Nutmeg Bold" w:hAnsi="Nutmeg Bold" w:cs="Nutmeg Bold"/>
        </w:rPr>
        <w:t>Se deberá entregar el material utilizado en los foros y/o talleres participativos, encuestas y presentaciones, así mismo la comprobación de la realización de éstos.</w:t>
      </w:r>
    </w:p>
    <w:p w:rsidR="006E59E8" w:rsidRDefault="006E59E8" w:rsidP="006E59E8">
      <w:pPr>
        <w:widowControl w:val="0"/>
        <w:numPr>
          <w:ilvl w:val="0"/>
          <w:numId w:val="11"/>
        </w:numPr>
        <w:pBdr>
          <w:top w:val="single" w:sz="2" w:space="0" w:color="auto"/>
          <w:left w:val="single" w:sz="2" w:space="0" w:color="auto"/>
          <w:bottom w:val="single" w:sz="2" w:space="0" w:color="auto"/>
          <w:right w:val="single" w:sz="2" w:space="0" w:color="auto"/>
          <w:between w:val="single" w:sz="2" w:space="0" w:color="auto"/>
        </w:pBdr>
        <w:spacing w:after="120" w:line="240" w:lineRule="auto"/>
        <w:ind w:hanging="360"/>
        <w:jc w:val="both"/>
      </w:pPr>
      <w:r>
        <w:rPr>
          <w:rFonts w:ascii="Nutmeg Bold" w:eastAsia="Nutmeg Bold" w:hAnsi="Nutmeg Bold" w:cs="Nutmeg Bold"/>
        </w:rPr>
        <w:t>Glosario de términos</w:t>
      </w:r>
    </w:p>
    <w:p w:rsidR="006E59E8" w:rsidRDefault="006E59E8" w:rsidP="006E59E8">
      <w:pPr>
        <w:widowControl w:val="0"/>
        <w:numPr>
          <w:ilvl w:val="0"/>
          <w:numId w:val="11"/>
        </w:numPr>
        <w:pBdr>
          <w:top w:val="single" w:sz="2" w:space="0" w:color="auto"/>
          <w:left w:val="single" w:sz="2" w:space="0" w:color="auto"/>
          <w:bottom w:val="single" w:sz="2" w:space="0" w:color="auto"/>
          <w:right w:val="single" w:sz="2" w:space="0" w:color="auto"/>
          <w:between w:val="single" w:sz="2" w:space="0" w:color="auto"/>
        </w:pBdr>
        <w:spacing w:after="120" w:line="240" w:lineRule="auto"/>
        <w:ind w:hanging="360"/>
        <w:jc w:val="both"/>
      </w:pPr>
      <w:r>
        <w:rPr>
          <w:rFonts w:ascii="Nutmeg Bold" w:eastAsia="Nutmeg Bold" w:hAnsi="Nutmeg Bold" w:cs="Nutmeg Bold"/>
        </w:rPr>
        <w:t>Bitácora de seguimiento</w:t>
      </w: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6E59E8" w:rsidTr="00354DBB">
        <w:trPr>
          <w:trHeight w:val="220"/>
        </w:trPr>
        <w:tc>
          <w:tcPr>
            <w:tcW w:w="8958" w:type="dxa"/>
            <w:shd w:val="clear" w:color="auto" w:fill="FFFFFF"/>
          </w:tcPr>
          <w:p w:rsidR="006E59E8" w:rsidRDefault="006E59E8" w:rsidP="00354DBB">
            <w:pPr>
              <w:keepNext/>
              <w:keepLines/>
              <w:spacing w:before="200"/>
              <w:jc w:val="center"/>
              <w:rPr>
                <w:rFonts w:ascii="Nutmeg Bold" w:eastAsia="Nutmeg Bold" w:hAnsi="Nutmeg Bold" w:cs="Nutmeg Bold"/>
                <w:color w:val="4F81BD"/>
                <w:sz w:val="24"/>
                <w:szCs w:val="24"/>
              </w:rPr>
            </w:pPr>
            <w:r>
              <w:rPr>
                <w:rFonts w:ascii="Nutmeg Bold" w:eastAsia="Nutmeg Bold" w:hAnsi="Nutmeg Bold" w:cs="Nutmeg Bold"/>
                <w:color w:val="4F81BD"/>
                <w:sz w:val="24"/>
                <w:szCs w:val="24"/>
              </w:rPr>
              <w:t>Lineamientos editoriales</w:t>
            </w:r>
          </w:p>
        </w:tc>
      </w:tr>
    </w:tbl>
    <w:p w:rsidR="006E59E8" w:rsidRDefault="006E59E8" w:rsidP="006E59E8">
      <w:pPr>
        <w:spacing w:after="120" w:line="240" w:lineRule="auto"/>
        <w:ind w:left="720"/>
        <w:jc w:val="both"/>
        <w:rPr>
          <w:rFonts w:ascii="Nutmeg Bold" w:eastAsia="Nutmeg Bold" w:hAnsi="Nutmeg Bold" w:cs="Nutmeg Bold"/>
        </w:rPr>
      </w:pPr>
      <w:bookmarkStart w:id="5" w:name="_1t3h5sf" w:colFirst="0" w:colLast="0"/>
      <w:bookmarkEnd w:id="5"/>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Fuente: Arial, con alineación justificada, espacio interlineado sencillo y sin sangrías, color negro, a reserva que a juicio del consultor algunas líneas, texto o títulos se les podrá dar formato de otro color que resalte o marque algún texto que lo requiera.</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Tamaño de la fuente: número 11 en texto principal; número 10 en cuadros y notas; número 12 en subtítulos; y número 9 en fuentes y pies de página.</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En el encabezado se dispondrá el nombre completo del programa y pueden ir los logos de los Municipios involucrados.</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La numeración de página deberá ir en la parte inferior y centrado del documento, sin incluir la portada.</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Todos los cuadros, gráficos y mapas deberán estar numerados con su título en la parte superior y con la fuente en la parte inferior.</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lastRenderedPageBreak/>
        <w:t>Cada una de las etapas se iniciara con hoja nueva, el tamaño de la fuente del título será tamaño 16.</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Las imágenes y fotografías que se incorporen al texto podrán presentarse sin tira marginal, para tener una mejor apreciación de lo que se pretende representar, deberá incluir la simbología para mejor claridad, además del título y de la fuente en todos los casos.</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 xml:space="preserve">Para la citación de fuentes y la bibliografía se sugiere utilizar el modelo de APA. </w:t>
      </w:r>
    </w:p>
    <w:p w:rsidR="006E59E8" w:rsidRDefault="006E59E8" w:rsidP="006E59E8">
      <w:pPr>
        <w:widowControl w:val="0"/>
        <w:numPr>
          <w:ilvl w:val="0"/>
          <w:numId w:val="12"/>
        </w:numPr>
        <w:spacing w:after="120" w:line="240" w:lineRule="auto"/>
        <w:ind w:hanging="360"/>
        <w:jc w:val="both"/>
      </w:pPr>
      <w:r>
        <w:rPr>
          <w:rFonts w:ascii="Nutmeg Bold" w:eastAsia="Nutmeg Bold" w:hAnsi="Nutmeg Bold" w:cs="Nutmeg Bold"/>
        </w:rPr>
        <w:t>En cuanto a la redacción del documento se requiere que ésta sea sencilla, clara y objetiva, se debe evitar reiteraciones y textos confusos. La ortografía muy bien cuidada. La capitulación puede ser mejorada con el apoyo numérico y hacer las subdivisiones que se consideren necesarias.</w:t>
      </w:r>
    </w:p>
    <w:p w:rsidR="006E59E8" w:rsidRDefault="006E59E8" w:rsidP="006E59E8">
      <w:pPr>
        <w:widowControl w:val="0"/>
        <w:numPr>
          <w:ilvl w:val="0"/>
          <w:numId w:val="12"/>
        </w:numPr>
        <w:spacing w:after="120" w:line="240" w:lineRule="auto"/>
        <w:ind w:hanging="360"/>
        <w:jc w:val="both"/>
      </w:pPr>
      <w:bookmarkStart w:id="6" w:name="_4d34og8" w:colFirst="0" w:colLast="0"/>
      <w:bookmarkEnd w:id="6"/>
      <w:r>
        <w:rPr>
          <w:rFonts w:ascii="Nutmeg Bold" w:eastAsia="Nutmeg Bold" w:hAnsi="Nutmeg Bold" w:cs="Nutmeg Bold"/>
        </w:rPr>
        <w:t>El documento se presentará en tamaño carta, impreso por ambas caras, los márgenes serán de tipo moderado con tamaños: superior e inferior de 2.54 cm y derecho e izquierda de 1.91 cm.</w:t>
      </w: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6E59E8" w:rsidTr="00354DBB">
        <w:trPr>
          <w:trHeight w:val="220"/>
        </w:trPr>
        <w:tc>
          <w:tcPr>
            <w:tcW w:w="8958" w:type="dxa"/>
            <w:shd w:val="clear" w:color="auto" w:fill="FFFFFF"/>
          </w:tcPr>
          <w:p w:rsidR="006E59E8" w:rsidRDefault="006E59E8" w:rsidP="00354DBB">
            <w:pPr>
              <w:keepNext/>
              <w:keepLines/>
              <w:spacing w:before="200"/>
              <w:jc w:val="center"/>
              <w:rPr>
                <w:rFonts w:ascii="Nutmeg Bold" w:eastAsia="Nutmeg Bold" w:hAnsi="Nutmeg Bold" w:cs="Nutmeg Bold"/>
                <w:color w:val="4F81BD"/>
                <w:sz w:val="24"/>
                <w:szCs w:val="24"/>
              </w:rPr>
            </w:pPr>
            <w:r>
              <w:rPr>
                <w:rFonts w:ascii="Nutmeg Bold" w:eastAsia="Nutmeg Bold" w:hAnsi="Nutmeg Bold" w:cs="Nutmeg Bold"/>
                <w:color w:val="4F81BD"/>
                <w:sz w:val="24"/>
                <w:szCs w:val="24"/>
              </w:rPr>
              <w:t>Cartografía</w:t>
            </w:r>
          </w:p>
        </w:tc>
      </w:tr>
    </w:tbl>
    <w:p w:rsidR="006E59E8" w:rsidRDefault="006E59E8" w:rsidP="006E59E8">
      <w:pPr>
        <w:ind w:left="720"/>
        <w:jc w:val="both"/>
        <w:rPr>
          <w:rFonts w:ascii="Nutmeg Bold" w:eastAsia="Nutmeg Bold" w:hAnsi="Nutmeg Bold" w:cs="Nutmeg Bold"/>
        </w:rPr>
      </w:pPr>
    </w:p>
    <w:p w:rsidR="006E59E8" w:rsidRDefault="006E59E8" w:rsidP="006E59E8">
      <w:pPr>
        <w:spacing w:after="120" w:line="240" w:lineRule="auto"/>
        <w:jc w:val="both"/>
        <w:rPr>
          <w:rFonts w:ascii="Nutmeg Bold" w:eastAsia="Nutmeg Bold" w:hAnsi="Nutmeg Bold" w:cs="Nutmeg Bold"/>
        </w:rPr>
      </w:pPr>
      <w:r>
        <w:rPr>
          <w:rFonts w:ascii="Nutmeg Bold" w:eastAsia="Nutmeg Bold" w:hAnsi="Nutmeg Bold" w:cs="Nutmeg Bold"/>
        </w:rPr>
        <w:t>Los mapas resultantes de cada una de las etapas deberán estar debidamente georreferenciados en la proyección UTM WGS84, en formato vectorial (shapefile), deberán contar con la topología debidamente construida, e incluir las bases de datos y archivos de metadatos respectivos, además, se deberán entregarse en imagen (JPG, TIFF) siguiendo el formato y criterios de impresión del INEGI.</w:t>
      </w:r>
    </w:p>
    <w:p w:rsidR="006E59E8" w:rsidRDefault="006E59E8" w:rsidP="006E59E8">
      <w:pPr>
        <w:spacing w:after="120" w:line="240" w:lineRule="auto"/>
        <w:jc w:val="both"/>
        <w:rPr>
          <w:rFonts w:ascii="Nutmeg Bold" w:eastAsia="Nutmeg Bold" w:hAnsi="Nutmeg Bold" w:cs="Nutmeg Bold"/>
        </w:rPr>
      </w:pPr>
      <w:r>
        <w:rPr>
          <w:rFonts w:ascii="Nutmeg Bold" w:eastAsia="Nutmeg Bold" w:hAnsi="Nutmeg Bold" w:cs="Nutmeg Bold"/>
        </w:rPr>
        <w:t>La obtención de cada mapa será reportada en un informe que incluya la información base, los criterios y métodos de análisis, así como la síntesis de los resultados obtenidos.</w:t>
      </w:r>
    </w:p>
    <w:p w:rsidR="006E59E8" w:rsidRDefault="006E59E8" w:rsidP="006E59E8">
      <w:pPr>
        <w:widowControl w:val="0"/>
        <w:numPr>
          <w:ilvl w:val="0"/>
          <w:numId w:val="13"/>
        </w:numPr>
        <w:spacing w:after="120" w:line="240" w:lineRule="auto"/>
        <w:ind w:hanging="360"/>
        <w:jc w:val="both"/>
      </w:pPr>
      <w:r>
        <w:rPr>
          <w:rFonts w:ascii="Nutmeg Bold" w:eastAsia="Nutmeg Bold" w:hAnsi="Nutmeg Bold" w:cs="Nutmeg Bold"/>
        </w:rPr>
        <w:t>Formato vectorial</w:t>
      </w:r>
    </w:p>
    <w:p w:rsidR="006E59E8" w:rsidRDefault="006E59E8" w:rsidP="006E59E8">
      <w:pPr>
        <w:spacing w:after="120" w:line="240" w:lineRule="auto"/>
        <w:jc w:val="both"/>
        <w:rPr>
          <w:rFonts w:ascii="Nutmeg Bold" w:eastAsia="Nutmeg Bold" w:hAnsi="Nutmeg Bold" w:cs="Nutmeg Bold"/>
        </w:rPr>
      </w:pPr>
      <w:r>
        <w:rPr>
          <w:rFonts w:ascii="Nutmeg Bold" w:eastAsia="Nutmeg Bold" w:hAnsi="Nutmeg Bold" w:cs="Nutmeg Bold"/>
        </w:rPr>
        <w:t>Toda la información Geográfica emanada del Programa, deberá ser entregada en formato vectorial (shapefile):</w:t>
      </w:r>
    </w:p>
    <w:p w:rsidR="006E59E8" w:rsidRDefault="006E59E8" w:rsidP="006E59E8">
      <w:pPr>
        <w:spacing w:after="120" w:line="240" w:lineRule="auto"/>
        <w:ind w:left="720"/>
        <w:jc w:val="both"/>
        <w:rPr>
          <w:rFonts w:ascii="Nutmeg Bold" w:eastAsia="Nutmeg Bold" w:hAnsi="Nutmeg Bold" w:cs="Nutmeg Bold"/>
        </w:rPr>
      </w:pPr>
      <w:r>
        <w:rPr>
          <w:rFonts w:ascii="Nutmeg Bold" w:eastAsia="Nutmeg Bold" w:hAnsi="Nutmeg Bold" w:cs="Nutmeg Bold"/>
        </w:rPr>
        <w:t>-.shp: archivo que almacena la geometría de los objetos</w:t>
      </w:r>
    </w:p>
    <w:p w:rsidR="006E59E8" w:rsidRDefault="006E59E8" w:rsidP="006E59E8">
      <w:pPr>
        <w:spacing w:after="120" w:line="240" w:lineRule="auto"/>
        <w:ind w:left="720"/>
        <w:jc w:val="both"/>
        <w:rPr>
          <w:rFonts w:ascii="Nutmeg Bold" w:eastAsia="Nutmeg Bold" w:hAnsi="Nutmeg Bold" w:cs="Nutmeg Bold"/>
        </w:rPr>
      </w:pPr>
      <w:r>
        <w:rPr>
          <w:rFonts w:ascii="Nutmeg Bold" w:eastAsia="Nutmeg Bold" w:hAnsi="Nutmeg Bold" w:cs="Nutmeg Bold"/>
        </w:rPr>
        <w:t>- .dbf: archivo de base de datos, en formato dBASE</w:t>
      </w:r>
    </w:p>
    <w:p w:rsidR="006E59E8" w:rsidRDefault="006E59E8" w:rsidP="006E59E8">
      <w:pPr>
        <w:spacing w:after="120" w:line="240" w:lineRule="auto"/>
        <w:ind w:left="720"/>
        <w:jc w:val="both"/>
        <w:rPr>
          <w:rFonts w:ascii="Nutmeg Bold" w:eastAsia="Nutmeg Bold" w:hAnsi="Nutmeg Bold" w:cs="Nutmeg Bold"/>
        </w:rPr>
      </w:pPr>
      <w:r>
        <w:rPr>
          <w:rFonts w:ascii="Nutmeg Bold" w:eastAsia="Nutmeg Bold" w:hAnsi="Nutmeg Bold" w:cs="Nutmeg Bold"/>
        </w:rPr>
        <w:t>-.shx: archivo que almacena el índice de las entidades geométricas</w:t>
      </w:r>
    </w:p>
    <w:p w:rsidR="006E59E8" w:rsidRDefault="006E59E8" w:rsidP="006E59E8">
      <w:pPr>
        <w:spacing w:after="120" w:line="240" w:lineRule="auto"/>
        <w:ind w:left="720"/>
        <w:jc w:val="both"/>
        <w:rPr>
          <w:rFonts w:ascii="Nutmeg Bold" w:eastAsia="Nutmeg Bold" w:hAnsi="Nutmeg Bold" w:cs="Nutmeg Bold"/>
        </w:rPr>
      </w:pPr>
      <w:r>
        <w:rPr>
          <w:rFonts w:ascii="Nutmeg Bold" w:eastAsia="Nutmeg Bold" w:hAnsi="Nutmeg Bold" w:cs="Nutmeg Bold"/>
        </w:rPr>
        <w:t>-.prj: archivo que guarda la información referida al sistema de coordenadas en formato WKT.</w:t>
      </w:r>
    </w:p>
    <w:p w:rsidR="006E59E8" w:rsidRDefault="006E59E8">
      <w:pPr>
        <w:spacing w:before="120" w:after="120"/>
        <w:jc w:val="both"/>
        <w:rPr>
          <w:rFonts w:ascii="Proxima Nova" w:eastAsia="Proxima Nova" w:hAnsi="Proxima Nova" w:cs="Proxima Nova"/>
          <w:color w:val="434343"/>
          <w:sz w:val="24"/>
          <w:szCs w:val="24"/>
        </w:rPr>
      </w:pPr>
    </w:p>
    <w:p w:rsidR="006E59E8" w:rsidRDefault="006E59E8">
      <w:pPr>
        <w:spacing w:before="120" w:after="120"/>
        <w:jc w:val="both"/>
        <w:rPr>
          <w:rFonts w:ascii="Proxima Nova" w:eastAsia="Proxima Nova" w:hAnsi="Proxima Nova" w:cs="Proxima Nova"/>
          <w:color w:val="434343"/>
          <w:sz w:val="24"/>
          <w:szCs w:val="24"/>
        </w:rPr>
      </w:pPr>
    </w:p>
    <w:p w:rsidR="006E59E8" w:rsidRDefault="006E59E8">
      <w:pPr>
        <w:spacing w:before="120" w:after="120"/>
        <w:jc w:val="both"/>
        <w:rPr>
          <w:rFonts w:ascii="Proxima Nova" w:eastAsia="Proxima Nova" w:hAnsi="Proxima Nova" w:cs="Proxima Nova"/>
          <w:color w:val="434343"/>
          <w:sz w:val="24"/>
          <w:szCs w:val="24"/>
        </w:rPr>
      </w:pPr>
    </w:p>
    <w:p w:rsidR="006E59E8" w:rsidRDefault="006E59E8">
      <w:pPr>
        <w:spacing w:before="120" w:after="120"/>
        <w:jc w:val="both"/>
        <w:rPr>
          <w:rFonts w:ascii="Proxima Nova" w:eastAsia="Proxima Nova" w:hAnsi="Proxima Nova" w:cs="Proxima Nova"/>
          <w:color w:val="434343"/>
          <w:sz w:val="24"/>
          <w:szCs w:val="24"/>
        </w:rPr>
      </w:pPr>
    </w:p>
    <w:p w:rsidR="00B50481" w:rsidRDefault="00B50481">
      <w:pPr>
        <w:spacing w:before="120" w:after="120"/>
        <w:jc w:val="center"/>
        <w:rPr>
          <w:rFonts w:ascii="Proxima Nova" w:eastAsia="Proxima Nova" w:hAnsi="Proxima Nova" w:cs="Proxima Nova"/>
          <w:b/>
          <w:color w:val="434343"/>
          <w:sz w:val="24"/>
          <w:szCs w:val="24"/>
        </w:rPr>
      </w:pPr>
    </w:p>
    <w:p w:rsidR="00B50481" w:rsidRDefault="00B50481">
      <w:pPr>
        <w:spacing w:before="120" w:after="120"/>
        <w:jc w:val="center"/>
        <w:rPr>
          <w:rFonts w:ascii="Proxima Nova" w:eastAsia="Proxima Nova" w:hAnsi="Proxima Nova" w:cs="Proxima Nova"/>
          <w:b/>
          <w:color w:val="434343"/>
          <w:sz w:val="24"/>
          <w:szCs w:val="24"/>
        </w:rPr>
      </w:pPr>
    </w:p>
    <w:sectPr w:rsidR="00B50481">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62" w:rsidRDefault="00F86A62">
      <w:pPr>
        <w:spacing w:line="240" w:lineRule="auto"/>
      </w:pPr>
      <w:r>
        <w:separator/>
      </w:r>
    </w:p>
  </w:endnote>
  <w:endnote w:type="continuationSeparator" w:id="0">
    <w:p w:rsidR="00F86A62" w:rsidRDefault="00F86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roxima Nova">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Nutmeg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81" w:rsidRDefault="00CA2317">
    <w:pPr>
      <w:jc w:val="center"/>
      <w:rPr>
        <w:rFonts w:ascii="Proxima Nova" w:eastAsia="Proxima Nova" w:hAnsi="Proxima Nova" w:cs="Proxima Nova"/>
        <w:color w:val="999999"/>
        <w:sz w:val="24"/>
        <w:szCs w:val="24"/>
      </w:rPr>
    </w:pPr>
    <w:r>
      <w:rPr>
        <w:rFonts w:ascii="Proxima Nova" w:eastAsia="Proxima Nova" w:hAnsi="Proxima Nova" w:cs="Proxima Nova"/>
        <w:color w:val="999999"/>
        <w:sz w:val="24"/>
        <w:szCs w:val="24"/>
      </w:rPr>
      <w:t xml:space="preserve">Página </w:t>
    </w:r>
    <w:r>
      <w:rPr>
        <w:rFonts w:ascii="Proxima Nova" w:eastAsia="Proxima Nova" w:hAnsi="Proxima Nova" w:cs="Proxima Nova"/>
        <w:color w:val="999999"/>
        <w:sz w:val="24"/>
        <w:szCs w:val="24"/>
      </w:rPr>
      <w:fldChar w:fldCharType="begin"/>
    </w:r>
    <w:r>
      <w:rPr>
        <w:rFonts w:ascii="Proxima Nova" w:eastAsia="Proxima Nova" w:hAnsi="Proxima Nova" w:cs="Proxima Nova"/>
        <w:color w:val="999999"/>
        <w:sz w:val="24"/>
        <w:szCs w:val="24"/>
      </w:rPr>
      <w:instrText>PAGE</w:instrText>
    </w:r>
    <w:r>
      <w:rPr>
        <w:rFonts w:ascii="Proxima Nova" w:eastAsia="Proxima Nova" w:hAnsi="Proxima Nova" w:cs="Proxima Nova"/>
        <w:color w:val="999999"/>
        <w:sz w:val="24"/>
        <w:szCs w:val="24"/>
      </w:rPr>
      <w:fldChar w:fldCharType="separate"/>
    </w:r>
    <w:r w:rsidR="00BE2B9A">
      <w:rPr>
        <w:rFonts w:ascii="Proxima Nova" w:eastAsia="Proxima Nova" w:hAnsi="Proxima Nova" w:cs="Proxima Nova"/>
        <w:noProof/>
        <w:color w:val="999999"/>
        <w:sz w:val="24"/>
        <w:szCs w:val="24"/>
      </w:rPr>
      <w:t>5</w:t>
    </w:r>
    <w:r>
      <w:rPr>
        <w:rFonts w:ascii="Proxima Nova" w:eastAsia="Proxima Nova" w:hAnsi="Proxima Nova" w:cs="Proxima Nova"/>
        <w:color w:val="999999"/>
        <w:sz w:val="24"/>
        <w:szCs w:val="24"/>
      </w:rPr>
      <w:fldChar w:fldCharType="end"/>
    </w:r>
    <w:r>
      <w:rPr>
        <w:noProof/>
        <w:lang w:val="es-MX"/>
      </w:rPr>
      <w:drawing>
        <wp:anchor distT="0" distB="0" distL="0" distR="0" simplePos="0" relativeHeight="251658240" behindDoc="0" locked="0" layoutInCell="1" hidden="0" allowOverlap="1">
          <wp:simplePos x="0" y="0"/>
          <wp:positionH relativeFrom="column">
            <wp:posOffset>-1023937</wp:posOffset>
          </wp:positionH>
          <wp:positionV relativeFrom="paragraph">
            <wp:posOffset>428625</wp:posOffset>
          </wp:positionV>
          <wp:extent cx="7781925" cy="409575"/>
          <wp:effectExtent l="0" t="0" r="0" b="0"/>
          <wp:wrapTopAndBottom distT="0" distB="0"/>
          <wp:docPr id="3"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62" w:rsidRDefault="00F86A62">
      <w:pPr>
        <w:spacing w:line="240" w:lineRule="auto"/>
      </w:pPr>
      <w:r>
        <w:separator/>
      </w:r>
    </w:p>
  </w:footnote>
  <w:footnote w:type="continuationSeparator" w:id="0">
    <w:p w:rsidR="00F86A62" w:rsidRDefault="00F86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81" w:rsidRDefault="00B50481">
    <w:pPr>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91B"/>
    <w:multiLevelType w:val="multilevel"/>
    <w:tmpl w:val="5F74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034FC"/>
    <w:multiLevelType w:val="multilevel"/>
    <w:tmpl w:val="D3761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114D22"/>
    <w:multiLevelType w:val="multilevel"/>
    <w:tmpl w:val="AF4CA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A07C34"/>
    <w:multiLevelType w:val="multilevel"/>
    <w:tmpl w:val="3094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2B19C0"/>
    <w:multiLevelType w:val="multilevel"/>
    <w:tmpl w:val="3BB6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6A0F75"/>
    <w:multiLevelType w:val="multilevel"/>
    <w:tmpl w:val="4984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84518D"/>
    <w:multiLevelType w:val="multilevel"/>
    <w:tmpl w:val="BA20D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25D34E7"/>
    <w:multiLevelType w:val="multilevel"/>
    <w:tmpl w:val="68FC1C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2EE7450"/>
    <w:multiLevelType w:val="multilevel"/>
    <w:tmpl w:val="06927F3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7F30B52"/>
    <w:multiLevelType w:val="multilevel"/>
    <w:tmpl w:val="0866AE2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582124F0"/>
    <w:multiLevelType w:val="multilevel"/>
    <w:tmpl w:val="7ACE9E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A812C3C"/>
    <w:multiLevelType w:val="multilevel"/>
    <w:tmpl w:val="7E0637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EAE4B76"/>
    <w:multiLevelType w:val="hybridMultilevel"/>
    <w:tmpl w:val="08AC003C"/>
    <w:lvl w:ilvl="0" w:tplc="039CD8FE">
      <w:start w:val="1"/>
      <w:numFmt w:val="lowerLetter"/>
      <w:lvlText w:val="%1)"/>
      <w:lvlJc w:val="left"/>
      <w:pPr>
        <w:ind w:left="-560" w:hanging="360"/>
      </w:pPr>
      <w:rPr>
        <w:rFonts w:hint="default"/>
      </w:rPr>
    </w:lvl>
    <w:lvl w:ilvl="1" w:tplc="080A0019" w:tentative="1">
      <w:start w:val="1"/>
      <w:numFmt w:val="lowerLetter"/>
      <w:lvlText w:val="%2."/>
      <w:lvlJc w:val="left"/>
      <w:pPr>
        <w:ind w:left="160" w:hanging="360"/>
      </w:pPr>
    </w:lvl>
    <w:lvl w:ilvl="2" w:tplc="080A001B" w:tentative="1">
      <w:start w:val="1"/>
      <w:numFmt w:val="lowerRoman"/>
      <w:lvlText w:val="%3."/>
      <w:lvlJc w:val="right"/>
      <w:pPr>
        <w:ind w:left="880" w:hanging="180"/>
      </w:pPr>
    </w:lvl>
    <w:lvl w:ilvl="3" w:tplc="080A000F" w:tentative="1">
      <w:start w:val="1"/>
      <w:numFmt w:val="decimal"/>
      <w:lvlText w:val="%4."/>
      <w:lvlJc w:val="left"/>
      <w:pPr>
        <w:ind w:left="1600" w:hanging="360"/>
      </w:pPr>
    </w:lvl>
    <w:lvl w:ilvl="4" w:tplc="080A0019" w:tentative="1">
      <w:start w:val="1"/>
      <w:numFmt w:val="lowerLetter"/>
      <w:lvlText w:val="%5."/>
      <w:lvlJc w:val="left"/>
      <w:pPr>
        <w:ind w:left="2320" w:hanging="360"/>
      </w:pPr>
    </w:lvl>
    <w:lvl w:ilvl="5" w:tplc="080A001B" w:tentative="1">
      <w:start w:val="1"/>
      <w:numFmt w:val="lowerRoman"/>
      <w:lvlText w:val="%6."/>
      <w:lvlJc w:val="right"/>
      <w:pPr>
        <w:ind w:left="3040" w:hanging="180"/>
      </w:pPr>
    </w:lvl>
    <w:lvl w:ilvl="6" w:tplc="080A000F" w:tentative="1">
      <w:start w:val="1"/>
      <w:numFmt w:val="decimal"/>
      <w:lvlText w:val="%7."/>
      <w:lvlJc w:val="left"/>
      <w:pPr>
        <w:ind w:left="3760" w:hanging="360"/>
      </w:pPr>
    </w:lvl>
    <w:lvl w:ilvl="7" w:tplc="080A0019" w:tentative="1">
      <w:start w:val="1"/>
      <w:numFmt w:val="lowerLetter"/>
      <w:lvlText w:val="%8."/>
      <w:lvlJc w:val="left"/>
      <w:pPr>
        <w:ind w:left="4480" w:hanging="360"/>
      </w:pPr>
    </w:lvl>
    <w:lvl w:ilvl="8" w:tplc="080A001B" w:tentative="1">
      <w:start w:val="1"/>
      <w:numFmt w:val="lowerRoman"/>
      <w:lvlText w:val="%9."/>
      <w:lvlJc w:val="right"/>
      <w:pPr>
        <w:ind w:left="5200" w:hanging="180"/>
      </w:pPr>
    </w:lvl>
  </w:abstractNum>
  <w:abstractNum w:abstractNumId="13">
    <w:nsid w:val="6EE87EF7"/>
    <w:multiLevelType w:val="multilevel"/>
    <w:tmpl w:val="5BC6541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11"/>
  </w:num>
  <w:num w:numId="3">
    <w:abstractNumId w:val="7"/>
  </w:num>
  <w:num w:numId="4">
    <w:abstractNumId w:val="5"/>
  </w:num>
  <w:num w:numId="5">
    <w:abstractNumId w:val="4"/>
  </w:num>
  <w:num w:numId="6">
    <w:abstractNumId w:val="1"/>
  </w:num>
  <w:num w:numId="7">
    <w:abstractNumId w:val="2"/>
  </w:num>
  <w:num w:numId="8">
    <w:abstractNumId w:val="6"/>
  </w:num>
  <w:num w:numId="9">
    <w:abstractNumId w:val="0"/>
  </w:num>
  <w:num w:numId="10">
    <w:abstractNumId w:val="12"/>
  </w:num>
  <w:num w:numId="11">
    <w:abstractNumId w:val="10"/>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0481"/>
    <w:rsid w:val="000F4FF4"/>
    <w:rsid w:val="001721C7"/>
    <w:rsid w:val="00181F83"/>
    <w:rsid w:val="00340EC8"/>
    <w:rsid w:val="004D5549"/>
    <w:rsid w:val="00583F80"/>
    <w:rsid w:val="0059563E"/>
    <w:rsid w:val="0059619D"/>
    <w:rsid w:val="005A5892"/>
    <w:rsid w:val="005E6DB4"/>
    <w:rsid w:val="006E59E8"/>
    <w:rsid w:val="007511B0"/>
    <w:rsid w:val="00842E24"/>
    <w:rsid w:val="00864422"/>
    <w:rsid w:val="009167D4"/>
    <w:rsid w:val="0095687B"/>
    <w:rsid w:val="009D4920"/>
    <w:rsid w:val="00A52824"/>
    <w:rsid w:val="00AC14DE"/>
    <w:rsid w:val="00B50481"/>
    <w:rsid w:val="00B77BD0"/>
    <w:rsid w:val="00BE2B9A"/>
    <w:rsid w:val="00C97119"/>
    <w:rsid w:val="00CA2317"/>
    <w:rsid w:val="00D44200"/>
    <w:rsid w:val="00D82EDE"/>
    <w:rsid w:val="00EA087A"/>
    <w:rsid w:val="00F66D47"/>
    <w:rsid w:val="00F7779A"/>
    <w:rsid w:val="00F86A62"/>
    <w:rsid w:val="00FD2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D4B59-05A5-4922-BEC2-C1912014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A5282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824"/>
    <w:rPr>
      <w:rFonts w:ascii="Tahoma" w:hAnsi="Tahoma" w:cs="Tahoma"/>
      <w:sz w:val="16"/>
      <w:szCs w:val="16"/>
    </w:rPr>
  </w:style>
  <w:style w:type="paragraph" w:styleId="Prrafodelista">
    <w:name w:val="List Paragraph"/>
    <w:basedOn w:val="Normal"/>
    <w:uiPriority w:val="34"/>
    <w:qFormat/>
    <w:rsid w:val="005E6DB4"/>
    <w:pPr>
      <w:ind w:left="720"/>
      <w:contextualSpacing/>
    </w:pPr>
  </w:style>
  <w:style w:type="paragraph" w:styleId="Sinespaciado">
    <w:name w:val="No Spacing"/>
    <w:link w:val="SinespaciadoCar"/>
    <w:uiPriority w:val="99"/>
    <w:qFormat/>
    <w:rsid w:val="00BE2B9A"/>
    <w:pPr>
      <w:spacing w:line="240" w:lineRule="auto"/>
    </w:pPr>
    <w:rPr>
      <w:rFonts w:asciiTheme="minorHAnsi" w:eastAsiaTheme="minorEastAsia" w:hAnsiTheme="minorHAnsi" w:cstheme="minorBidi"/>
      <w:lang w:val="es-MX"/>
    </w:rPr>
  </w:style>
  <w:style w:type="character" w:customStyle="1" w:styleId="SinespaciadoCar">
    <w:name w:val="Sin espaciado Car"/>
    <w:basedOn w:val="Fuentedeprrafopredeter"/>
    <w:link w:val="Sinespaciado"/>
    <w:uiPriority w:val="99"/>
    <w:rsid w:val="00BE2B9A"/>
    <w:rPr>
      <w:rFonts w:asciiTheme="minorHAnsi" w:eastAsiaTheme="minorEastAsia" w:hAnsiTheme="minorHAnsi" w:cstheme="minorBidi"/>
      <w:lang w:val="es-MX"/>
    </w:rPr>
  </w:style>
  <w:style w:type="character" w:customStyle="1" w:styleId="PuestoCar">
    <w:name w:val="Puesto Car"/>
    <w:basedOn w:val="Fuentedeprrafopredeter"/>
    <w:link w:val="Puesto"/>
    <w:rsid w:val="00BE2B9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Antonio Toscano Barajas</dc:creator>
  <cp:lastModifiedBy>Hector Antonio Toscano Barajas</cp:lastModifiedBy>
  <cp:revision>7</cp:revision>
  <cp:lastPrinted>2019-05-28T15:32:00Z</cp:lastPrinted>
  <dcterms:created xsi:type="dcterms:W3CDTF">2019-06-24T20:00:00Z</dcterms:created>
  <dcterms:modified xsi:type="dcterms:W3CDTF">2020-12-02T19:42:00Z</dcterms:modified>
</cp:coreProperties>
</file>