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A9354" w14:textId="77777777" w:rsidR="00753848" w:rsidRPr="002F590F" w:rsidRDefault="00753848">
      <w:pPr>
        <w:rPr>
          <w:rFonts w:ascii="Century Gothic" w:hAnsi="Century Gothic"/>
        </w:rPr>
      </w:pPr>
    </w:p>
    <w:p w14:paraId="19302EEF" w14:textId="77777777" w:rsidR="002F590F" w:rsidRDefault="00102680" w:rsidP="00102680">
      <w:pPr>
        <w:shd w:val="clear" w:color="auto" w:fill="FFFFFF"/>
        <w:jc w:val="center"/>
        <w:rPr>
          <w:rFonts w:ascii="Century Gothic" w:eastAsia="Times New Roman" w:hAnsi="Century Gothic" w:cs="Arial"/>
          <w:b/>
          <w:sz w:val="28"/>
          <w:lang w:eastAsia="es-MX"/>
        </w:rPr>
      </w:pPr>
      <w:r w:rsidRPr="002F590F">
        <w:rPr>
          <w:rFonts w:ascii="Century Gothic" w:eastAsia="Times New Roman" w:hAnsi="Century Gothic" w:cs="Arial"/>
          <w:b/>
          <w:sz w:val="28"/>
          <w:lang w:eastAsia="es-MX"/>
        </w:rPr>
        <w:t xml:space="preserve">AVISO DE PRIVACIDAD INTEGRAL DE LA </w:t>
      </w:r>
    </w:p>
    <w:p w14:paraId="5E42CFD1" w14:textId="576357E7" w:rsidR="00102680" w:rsidRPr="002F590F" w:rsidRDefault="00102680" w:rsidP="00102680">
      <w:pPr>
        <w:shd w:val="clear" w:color="auto" w:fill="FFFFFF"/>
        <w:jc w:val="center"/>
        <w:rPr>
          <w:rFonts w:ascii="Century Gothic" w:eastAsia="Times New Roman" w:hAnsi="Century Gothic" w:cs="Arial"/>
          <w:b/>
          <w:sz w:val="28"/>
          <w:lang w:eastAsia="es-MX"/>
        </w:rPr>
      </w:pPr>
      <w:r w:rsidRPr="002F590F">
        <w:rPr>
          <w:rFonts w:ascii="Century Gothic" w:eastAsia="Times New Roman" w:hAnsi="Century Gothic" w:cs="Arial"/>
          <w:b/>
          <w:sz w:val="28"/>
          <w:lang w:eastAsia="es-MX"/>
        </w:rPr>
        <w:t>DIRECCION DE INGRESOS</w:t>
      </w:r>
    </w:p>
    <w:p w14:paraId="442B72FC" w14:textId="77777777" w:rsidR="00102680" w:rsidRPr="002F590F" w:rsidRDefault="00102680" w:rsidP="00102680">
      <w:pPr>
        <w:shd w:val="clear" w:color="auto" w:fill="FFFFFF"/>
        <w:jc w:val="center"/>
        <w:rPr>
          <w:rFonts w:ascii="Century Gothic" w:eastAsia="Times New Roman" w:hAnsi="Century Gothic" w:cs="Arial"/>
          <w:b/>
          <w:lang w:eastAsia="es-MX"/>
        </w:rPr>
      </w:pPr>
    </w:p>
    <w:p w14:paraId="51E717F2" w14:textId="77777777" w:rsidR="00102680" w:rsidRPr="002F590F" w:rsidRDefault="00102680" w:rsidP="00102680">
      <w:pPr>
        <w:shd w:val="clear" w:color="auto" w:fill="FFFFFF"/>
        <w:jc w:val="both"/>
        <w:rPr>
          <w:rFonts w:ascii="Century Gothic" w:eastAsia="Times New Roman" w:hAnsi="Century Gothic" w:cs="Arial"/>
          <w:sz w:val="22"/>
          <w:szCs w:val="22"/>
          <w:lang w:eastAsia="es-MX"/>
        </w:rPr>
      </w:pPr>
      <w:r w:rsidRPr="002F590F">
        <w:rPr>
          <w:rFonts w:ascii="Century Gothic" w:eastAsia="Times New Roman" w:hAnsi="Century Gothic" w:cs="Arial"/>
          <w:sz w:val="22"/>
          <w:szCs w:val="22"/>
          <w:lang w:eastAsia="es-MX"/>
        </w:rPr>
        <w:t xml:space="preserve">El Gobierno Municipal de Zapotlán el Grande, Jalisco, a través de la Dirección de Ingresos con domicilio en Colón número 62, Colonia Centro, Código Postal 49000, de Ciudad Guzmán, municipio de Zapotlán el Grande, Jalisco y los siguientes datos de contacto: </w:t>
      </w:r>
      <w:hyperlink r:id="rId8" w:history="1">
        <w:r w:rsidRPr="002F590F">
          <w:rPr>
            <w:rStyle w:val="Hipervnculo"/>
            <w:rFonts w:ascii="Century Gothic" w:eastAsia="Times New Roman" w:hAnsi="Century Gothic" w:cs="Arial"/>
            <w:sz w:val="22"/>
            <w:szCs w:val="22"/>
            <w:lang w:eastAsia="es-MX"/>
          </w:rPr>
          <w:t>http://ciudadguzman.gob.mx/</w:t>
        </w:r>
      </w:hyperlink>
      <w:r w:rsidRPr="002F590F">
        <w:rPr>
          <w:rFonts w:ascii="Century Gothic" w:eastAsia="Times New Roman" w:hAnsi="Century Gothic" w:cs="Arial"/>
          <w:sz w:val="22"/>
          <w:szCs w:val="22"/>
          <w:lang w:eastAsia="es-MX"/>
        </w:rPr>
        <w:t xml:space="preserve">, teléfono (341) 5752500, Extensión: 578, 533 y 223, correo electrónico </w:t>
      </w:r>
      <w:r w:rsidRPr="002F590F">
        <w:rPr>
          <w:rStyle w:val="Hipervnculo"/>
          <w:rFonts w:ascii="Century Gothic" w:hAnsi="Century Gothic" w:cs="Arial"/>
          <w:sz w:val="22"/>
          <w:szCs w:val="22"/>
        </w:rPr>
        <w:t>ingresos@ciudadguzman.gob.mx</w:t>
      </w:r>
      <w:r w:rsidRPr="002F590F">
        <w:rPr>
          <w:rFonts w:ascii="Century Gothic" w:eastAsia="Times New Roman" w:hAnsi="Century Gothic" w:cs="Arial"/>
          <w:sz w:val="22"/>
          <w:szCs w:val="22"/>
          <w:lang w:eastAsia="es-MX"/>
        </w:rPr>
        <w:t xml:space="preserve">, es el responsable de la protección de sus datos personales que nos proporcione y al respecto le informa lo siguiente: </w:t>
      </w:r>
    </w:p>
    <w:p w14:paraId="298E760F" w14:textId="77777777" w:rsidR="00102680" w:rsidRPr="002F590F" w:rsidRDefault="00102680" w:rsidP="00102680">
      <w:pPr>
        <w:shd w:val="clear" w:color="auto" w:fill="FFFFFF"/>
        <w:jc w:val="both"/>
        <w:rPr>
          <w:rFonts w:ascii="Century Gothic" w:eastAsia="Times New Roman" w:hAnsi="Century Gothic" w:cs="Arial"/>
          <w:sz w:val="22"/>
          <w:szCs w:val="22"/>
          <w:lang w:eastAsia="es-MX"/>
        </w:rPr>
      </w:pPr>
    </w:p>
    <w:p w14:paraId="5953DA71" w14:textId="77777777" w:rsidR="00102680" w:rsidRPr="002F590F" w:rsidRDefault="00102680" w:rsidP="00102680">
      <w:pPr>
        <w:jc w:val="both"/>
        <w:rPr>
          <w:rFonts w:ascii="Century Gothic" w:hAnsi="Century Gothic" w:cs="Arial"/>
          <w:sz w:val="22"/>
          <w:szCs w:val="22"/>
        </w:rPr>
      </w:pPr>
      <w:r w:rsidRPr="002F590F">
        <w:rPr>
          <w:rFonts w:ascii="Century Gothic" w:eastAsia="Times New Roman" w:hAnsi="Century Gothic" w:cs="Arial"/>
          <w:sz w:val="22"/>
          <w:szCs w:val="22"/>
          <w:lang w:eastAsia="es-MX"/>
        </w:rPr>
        <w:t xml:space="preserve">Los datos personales del titular y/o en su caso del representante legal o de las personas autorizadas para oír y recibir notificaciones, </w:t>
      </w:r>
      <w:r w:rsidRPr="002F590F">
        <w:rPr>
          <w:rFonts w:ascii="Century Gothic" w:hAnsi="Century Gothic" w:cs="Arial"/>
          <w:sz w:val="22"/>
          <w:szCs w:val="22"/>
        </w:rPr>
        <w:t xml:space="preserve">que serán sometidos a tratamiento conforme a las atribuciones conferidas en los ordenamientos legales aquí mencionados, corresponden a los siguientes datos: </w:t>
      </w:r>
    </w:p>
    <w:p w14:paraId="00EFF559" w14:textId="77777777" w:rsidR="00102680" w:rsidRPr="002F590F" w:rsidRDefault="00102680" w:rsidP="00102680">
      <w:pPr>
        <w:jc w:val="both"/>
        <w:rPr>
          <w:rFonts w:ascii="Century Gothic" w:hAnsi="Century Gothic" w:cs="Arial"/>
          <w:sz w:val="22"/>
          <w:szCs w:val="22"/>
        </w:rPr>
      </w:pPr>
    </w:p>
    <w:p w14:paraId="10A41813" w14:textId="77777777" w:rsidR="00102680" w:rsidRPr="002F590F" w:rsidRDefault="00102680" w:rsidP="00102680">
      <w:pPr>
        <w:jc w:val="both"/>
        <w:rPr>
          <w:rFonts w:ascii="Century Gothic" w:hAnsi="Century Gothic" w:cs="Arial"/>
          <w:sz w:val="22"/>
          <w:szCs w:val="22"/>
        </w:rPr>
      </w:pPr>
      <w:r w:rsidRPr="002F590F">
        <w:rPr>
          <w:rFonts w:ascii="Century Gothic" w:hAnsi="Century Gothic" w:cs="Arial"/>
          <w:b/>
          <w:sz w:val="22"/>
          <w:szCs w:val="22"/>
        </w:rPr>
        <w:t>Los Datos Personales Identificativos</w:t>
      </w:r>
      <w:r w:rsidRPr="002F590F">
        <w:rPr>
          <w:rFonts w:ascii="Century Gothic" w:hAnsi="Century Gothic" w:cs="Arial"/>
          <w:sz w:val="22"/>
          <w:szCs w:val="22"/>
        </w:rPr>
        <w:t xml:space="preserve">, se refieren a cualquier información concerniente a una persona física identificada o identificable y podrán ser sometidos a tratamiento por esta Dirección de Ingresos los siguientes datos: nombre, domicilio, firma, fecha de nacimiento, edad, número de teléfono particular, número de teléfono celular, Registro Federal de Contribuyentes (RFC), Clave Única de Registro de Población (CURP), estado civil, rasgos físicos, datos patrimoniales (catastro), clave de elector; folio de la credencial de elector, copia de credencial de elector, número de pasaporte, copia de pasaporte, lugar y fecha de nacimiento, parentesco, nacionalidad, edad, fotografía y huella (algunos de ellos contenidos en los documentos de identificación). </w:t>
      </w:r>
    </w:p>
    <w:p w14:paraId="023C41FC" w14:textId="77777777" w:rsidR="00102680" w:rsidRPr="002F590F" w:rsidRDefault="00102680" w:rsidP="00102680">
      <w:pPr>
        <w:jc w:val="both"/>
        <w:rPr>
          <w:rFonts w:ascii="Century Gothic" w:hAnsi="Century Gothic" w:cs="Arial"/>
          <w:sz w:val="22"/>
          <w:szCs w:val="22"/>
        </w:rPr>
      </w:pPr>
    </w:p>
    <w:p w14:paraId="5CBC1E8C" w14:textId="77777777" w:rsidR="00102680" w:rsidRPr="002F590F" w:rsidRDefault="00102680" w:rsidP="00102680">
      <w:pPr>
        <w:jc w:val="both"/>
        <w:rPr>
          <w:rFonts w:ascii="Century Gothic" w:hAnsi="Century Gothic" w:cs="Arial"/>
          <w:sz w:val="22"/>
          <w:szCs w:val="22"/>
        </w:rPr>
      </w:pPr>
      <w:r w:rsidRPr="002F590F">
        <w:rPr>
          <w:rFonts w:ascii="Century Gothic" w:hAnsi="Century Gothic" w:cs="Arial"/>
          <w:b/>
          <w:sz w:val="22"/>
          <w:szCs w:val="22"/>
        </w:rPr>
        <w:t>Los Datos Personales Sensibles</w:t>
      </w:r>
      <w:r w:rsidRPr="002F590F">
        <w:rPr>
          <w:rFonts w:ascii="Century Gothic" w:hAnsi="Century Gothic" w:cs="Arial"/>
          <w:sz w:val="22"/>
          <w:szCs w:val="22"/>
        </w:rPr>
        <w:t xml:space="preserve">, son aquéllos que afecten a la esfera más íntima de su titular, o cuya utilización indebida puedan dar origen a discriminación o conlleve un riesgo grave para éste y podrán ser sometidos a tratamiento por esta Dirección de Ingresos los siguientes datos: datos laborales, datos de salud, fotografía y firma. </w:t>
      </w:r>
    </w:p>
    <w:p w14:paraId="37ECD9AF" w14:textId="77777777" w:rsidR="00102680" w:rsidRPr="002F590F" w:rsidRDefault="00102680" w:rsidP="00102680">
      <w:pPr>
        <w:jc w:val="both"/>
        <w:rPr>
          <w:rFonts w:ascii="Century Gothic" w:hAnsi="Century Gothic" w:cs="Arial"/>
          <w:sz w:val="22"/>
          <w:szCs w:val="22"/>
        </w:rPr>
      </w:pPr>
    </w:p>
    <w:p w14:paraId="1467E831" w14:textId="77777777" w:rsidR="00102680" w:rsidRPr="002F590F" w:rsidRDefault="00102680" w:rsidP="00102680">
      <w:pPr>
        <w:jc w:val="both"/>
        <w:rPr>
          <w:rFonts w:ascii="Century Gothic" w:hAnsi="Century Gothic" w:cs="Arial"/>
          <w:sz w:val="22"/>
          <w:szCs w:val="22"/>
        </w:rPr>
      </w:pPr>
      <w:r w:rsidRPr="002F590F">
        <w:rPr>
          <w:rFonts w:ascii="Century Gothic" w:hAnsi="Century Gothic" w:cs="Arial"/>
          <w:sz w:val="22"/>
          <w:szCs w:val="22"/>
        </w:rPr>
        <w:t xml:space="preserve">Los fundamentos legales que facultan a esta Dirección de Ingresos a llevar a cabo el tratamiento de sus datos personales son: </w:t>
      </w:r>
    </w:p>
    <w:p w14:paraId="71435C91" w14:textId="77777777" w:rsidR="00102680" w:rsidRPr="002F590F" w:rsidRDefault="00102680" w:rsidP="00102680">
      <w:pPr>
        <w:shd w:val="clear" w:color="auto" w:fill="FFFFFF"/>
        <w:jc w:val="both"/>
        <w:rPr>
          <w:rFonts w:ascii="Century Gothic" w:eastAsia="Times New Roman" w:hAnsi="Century Gothic" w:cs="Arial"/>
          <w:sz w:val="22"/>
          <w:szCs w:val="22"/>
          <w:lang w:eastAsia="es-MX"/>
        </w:rPr>
      </w:pPr>
    </w:p>
    <w:p w14:paraId="40430C6E" w14:textId="77777777" w:rsidR="00102680" w:rsidRPr="002F590F" w:rsidRDefault="00102680" w:rsidP="00102680">
      <w:pPr>
        <w:pStyle w:val="Prrafodelista"/>
        <w:numPr>
          <w:ilvl w:val="0"/>
          <w:numId w:val="1"/>
        </w:numPr>
        <w:shd w:val="clear" w:color="auto" w:fill="FFFFFF"/>
        <w:spacing w:after="160" w:line="259" w:lineRule="auto"/>
        <w:jc w:val="both"/>
        <w:rPr>
          <w:rFonts w:ascii="Century Gothic" w:eastAsia="Times New Roman" w:hAnsi="Century Gothic" w:cs="Arial"/>
          <w:sz w:val="22"/>
          <w:szCs w:val="22"/>
          <w:lang w:val="es-MX" w:eastAsia="es-MX"/>
        </w:rPr>
      </w:pPr>
      <w:r w:rsidRPr="002F590F">
        <w:rPr>
          <w:rFonts w:ascii="Century Gothic" w:eastAsia="Times New Roman" w:hAnsi="Century Gothic" w:cs="Arial"/>
          <w:sz w:val="22"/>
          <w:szCs w:val="22"/>
          <w:lang w:val="es-MX" w:eastAsia="es-MX"/>
        </w:rPr>
        <w:t>Constitución Política de los Estados Unidos Mexicanos: artículo 6, Apartado A, fracciones I y II, articulo 16 segundo párrafo y artículo 115</w:t>
      </w:r>
    </w:p>
    <w:p w14:paraId="6740A536" w14:textId="77777777" w:rsidR="00102680" w:rsidRPr="002F590F" w:rsidRDefault="00102680" w:rsidP="00102680">
      <w:pPr>
        <w:pStyle w:val="Prrafodelista"/>
        <w:numPr>
          <w:ilvl w:val="0"/>
          <w:numId w:val="1"/>
        </w:numPr>
        <w:shd w:val="clear" w:color="auto" w:fill="FFFFFF"/>
        <w:spacing w:after="160" w:line="259" w:lineRule="auto"/>
        <w:jc w:val="both"/>
        <w:rPr>
          <w:rFonts w:ascii="Century Gothic" w:eastAsia="Times New Roman" w:hAnsi="Century Gothic" w:cs="Arial"/>
          <w:sz w:val="22"/>
          <w:szCs w:val="22"/>
          <w:lang w:val="es-MX" w:eastAsia="es-MX"/>
        </w:rPr>
      </w:pPr>
      <w:r w:rsidRPr="002F590F">
        <w:rPr>
          <w:rFonts w:ascii="Century Gothic" w:eastAsia="Times New Roman" w:hAnsi="Century Gothic" w:cs="Arial"/>
          <w:sz w:val="22"/>
          <w:szCs w:val="22"/>
          <w:lang w:val="es-MX" w:eastAsia="es-MX"/>
        </w:rPr>
        <w:t>Ley General de Transparencia y Acceso a la Información Pública: artículos 1 y 12;</w:t>
      </w:r>
    </w:p>
    <w:p w14:paraId="360EECDF" w14:textId="77777777" w:rsidR="00102680" w:rsidRPr="002F590F" w:rsidRDefault="00102680" w:rsidP="00102680">
      <w:pPr>
        <w:pStyle w:val="Prrafodelista"/>
        <w:numPr>
          <w:ilvl w:val="0"/>
          <w:numId w:val="1"/>
        </w:numPr>
        <w:shd w:val="clear" w:color="auto" w:fill="FFFFFF"/>
        <w:spacing w:after="160" w:line="259" w:lineRule="auto"/>
        <w:jc w:val="both"/>
        <w:rPr>
          <w:rFonts w:ascii="Century Gothic" w:eastAsia="Times New Roman" w:hAnsi="Century Gothic" w:cs="Arial"/>
          <w:sz w:val="22"/>
          <w:szCs w:val="22"/>
          <w:lang w:val="es-MX" w:eastAsia="es-MX"/>
        </w:rPr>
      </w:pPr>
      <w:r w:rsidRPr="002F590F">
        <w:rPr>
          <w:rFonts w:ascii="Century Gothic" w:eastAsia="Times New Roman" w:hAnsi="Century Gothic" w:cs="Arial"/>
          <w:sz w:val="22"/>
          <w:szCs w:val="22"/>
          <w:lang w:val="es-MX" w:eastAsia="es-MX"/>
        </w:rPr>
        <w:t xml:space="preserve">Constitución Política del Estado de Jalisco: artículo 4, sexto párrafo, articulo 9, fracciones II, IV y V, artículo 15 fracción IX y X párrafo tercero y cuarto; </w:t>
      </w:r>
    </w:p>
    <w:p w14:paraId="72419C11" w14:textId="77777777" w:rsidR="00102680" w:rsidRPr="002F590F" w:rsidRDefault="00102680" w:rsidP="00102680">
      <w:pPr>
        <w:pStyle w:val="Prrafodelista"/>
        <w:numPr>
          <w:ilvl w:val="0"/>
          <w:numId w:val="1"/>
        </w:numPr>
        <w:shd w:val="clear" w:color="auto" w:fill="FFFFFF"/>
        <w:spacing w:after="160" w:line="259" w:lineRule="auto"/>
        <w:jc w:val="both"/>
        <w:rPr>
          <w:rFonts w:ascii="Century Gothic" w:eastAsia="Times New Roman" w:hAnsi="Century Gothic" w:cs="Arial"/>
          <w:sz w:val="22"/>
          <w:szCs w:val="22"/>
          <w:lang w:val="es-MX" w:eastAsia="es-MX"/>
        </w:rPr>
      </w:pPr>
      <w:r w:rsidRPr="002F590F">
        <w:rPr>
          <w:rFonts w:ascii="Century Gothic" w:eastAsia="Times New Roman" w:hAnsi="Century Gothic" w:cs="Arial"/>
          <w:sz w:val="22"/>
          <w:szCs w:val="22"/>
          <w:lang w:val="es-MX" w:eastAsia="es-MX"/>
        </w:rPr>
        <w:t xml:space="preserve">Ley de Transparencia y Acceso a la Información Pública del Estado de Jalisco y sus Municipios: artículos 1, 3, 8 numeral 1, fracciones V inciso t) y VI </w:t>
      </w:r>
      <w:r w:rsidRPr="002F590F">
        <w:rPr>
          <w:rFonts w:ascii="Century Gothic" w:eastAsia="Times New Roman" w:hAnsi="Century Gothic" w:cs="Arial"/>
          <w:sz w:val="22"/>
          <w:szCs w:val="22"/>
          <w:lang w:val="es-MX" w:eastAsia="es-MX"/>
        </w:rPr>
        <w:lastRenderedPageBreak/>
        <w:t>inciso g), artículos 17, 20, 31 y 32 fracciones III y V, artículos 68,69,70,71, 79.1 fracciones II y III, 81.3, 81.4, 82.1, 95, 96.1 fracciones II, III, VI, VIII y 96.2</w:t>
      </w:r>
    </w:p>
    <w:p w14:paraId="5A0D3382" w14:textId="77777777" w:rsidR="00102680" w:rsidRPr="002F590F" w:rsidRDefault="00102680" w:rsidP="00102680">
      <w:pPr>
        <w:pStyle w:val="Prrafodelista"/>
        <w:numPr>
          <w:ilvl w:val="0"/>
          <w:numId w:val="1"/>
        </w:numPr>
        <w:shd w:val="clear" w:color="auto" w:fill="FFFFFF"/>
        <w:spacing w:after="160" w:line="259" w:lineRule="auto"/>
        <w:jc w:val="both"/>
        <w:rPr>
          <w:rFonts w:ascii="Century Gothic" w:eastAsia="Times New Roman" w:hAnsi="Century Gothic" w:cs="Arial"/>
          <w:sz w:val="22"/>
          <w:szCs w:val="22"/>
          <w:lang w:val="es-MX" w:eastAsia="es-MX"/>
        </w:rPr>
      </w:pPr>
      <w:r w:rsidRPr="002F590F">
        <w:rPr>
          <w:rFonts w:ascii="Century Gothic" w:eastAsia="Times New Roman" w:hAnsi="Century Gothic" w:cs="Arial"/>
          <w:sz w:val="22"/>
          <w:szCs w:val="22"/>
          <w:lang w:val="es-MX" w:eastAsia="es-MX"/>
        </w:rPr>
        <w:t xml:space="preserve">Ley de Protección de Datos Personales en Posesión de Sujetos Obligados del Estado de Jalisco y sus Municipios: artículo 3 numeral 1 fracciones III, IX y X, </w:t>
      </w:r>
      <w:r w:rsidRPr="002F590F">
        <w:rPr>
          <w:rFonts w:ascii="Century Gothic" w:hAnsi="Century Gothic" w:cs="Arial"/>
          <w:sz w:val="22"/>
          <w:szCs w:val="22"/>
        </w:rPr>
        <w:t>XXXII, 10, 19.2, 24, 45.1, 45.2, 46, 47, 48, 49, 50, 51 fracciones 11, 111, IV, VI y VII, 53.1, 71, 72, 75, 87.1fracciones I y X, 88.1 fracciones 11, 111, IV, VIII, 93, 94, 95, 99 numeral 1, 101 numeral 1 fracción II, 102 numeral 1fracciones I y 11 y 104 numeral 1</w:t>
      </w:r>
      <w:r w:rsidRPr="002F590F">
        <w:rPr>
          <w:rFonts w:ascii="Century Gothic" w:eastAsia="Times New Roman" w:hAnsi="Century Gothic" w:cs="Arial"/>
          <w:sz w:val="22"/>
          <w:szCs w:val="22"/>
          <w:lang w:val="es-MX" w:eastAsia="es-MX"/>
        </w:rPr>
        <w:t>;</w:t>
      </w:r>
    </w:p>
    <w:p w14:paraId="477DDB77" w14:textId="77777777" w:rsidR="00102680" w:rsidRPr="002F590F" w:rsidRDefault="00102680" w:rsidP="00102680">
      <w:pPr>
        <w:pStyle w:val="Prrafodelista"/>
        <w:numPr>
          <w:ilvl w:val="0"/>
          <w:numId w:val="1"/>
        </w:numPr>
        <w:shd w:val="clear" w:color="auto" w:fill="FFFFFF"/>
        <w:spacing w:after="160" w:line="259" w:lineRule="auto"/>
        <w:jc w:val="both"/>
        <w:rPr>
          <w:rFonts w:ascii="Century Gothic" w:eastAsia="Times New Roman" w:hAnsi="Century Gothic" w:cs="Arial"/>
          <w:sz w:val="22"/>
          <w:szCs w:val="22"/>
          <w:lang w:val="es-MX" w:eastAsia="es-MX"/>
        </w:rPr>
      </w:pPr>
      <w:r w:rsidRPr="002F590F">
        <w:rPr>
          <w:rFonts w:ascii="Century Gothic" w:eastAsia="Times New Roman" w:hAnsi="Century Gothic" w:cs="Arial"/>
          <w:sz w:val="22"/>
          <w:szCs w:val="22"/>
          <w:lang w:val="es-MX" w:eastAsia="es-MX"/>
        </w:rPr>
        <w:t>Reglamento de Transparencia y Acceso a la Información Pública del Municipio de Zapotlán el Grande: artículos 2, 18 y 19 fracciones I y II.</w:t>
      </w:r>
    </w:p>
    <w:p w14:paraId="42594AE2" w14:textId="77777777" w:rsidR="00102680" w:rsidRPr="002F590F" w:rsidRDefault="00102680" w:rsidP="00102680">
      <w:pPr>
        <w:pStyle w:val="Prrafodelista"/>
        <w:numPr>
          <w:ilvl w:val="0"/>
          <w:numId w:val="1"/>
        </w:numPr>
        <w:spacing w:after="160" w:line="276" w:lineRule="auto"/>
        <w:jc w:val="both"/>
        <w:rPr>
          <w:rFonts w:ascii="Century Gothic" w:hAnsi="Century Gothic" w:cs="Arial"/>
          <w:sz w:val="22"/>
          <w:szCs w:val="22"/>
        </w:rPr>
      </w:pPr>
      <w:r w:rsidRPr="002F590F">
        <w:rPr>
          <w:rFonts w:ascii="Century Gothic" w:hAnsi="Century Gothic" w:cs="Arial"/>
          <w:sz w:val="22"/>
          <w:szCs w:val="22"/>
        </w:rPr>
        <w:t>Reglamento para el Funcionamiento de Establecimientos Comerciales, Industriales y de Prestación de Servicios para el municipio de Zapotlán el Grande, Jalisco: artículos 25, 26, 28, 30, 31, 32, 33, 34 y 39.</w:t>
      </w:r>
    </w:p>
    <w:p w14:paraId="769A9418" w14:textId="77777777" w:rsidR="00102680" w:rsidRPr="002F590F" w:rsidRDefault="00102680" w:rsidP="00102680">
      <w:pPr>
        <w:pStyle w:val="Prrafodelista"/>
        <w:numPr>
          <w:ilvl w:val="0"/>
          <w:numId w:val="1"/>
        </w:numPr>
        <w:spacing w:after="160" w:line="276" w:lineRule="auto"/>
        <w:jc w:val="both"/>
        <w:rPr>
          <w:rFonts w:ascii="Century Gothic" w:hAnsi="Century Gothic" w:cs="Arial"/>
          <w:sz w:val="22"/>
          <w:szCs w:val="22"/>
        </w:rPr>
      </w:pPr>
      <w:r w:rsidRPr="002F590F">
        <w:rPr>
          <w:rFonts w:ascii="Century Gothic" w:hAnsi="Century Gothic" w:cs="Arial"/>
          <w:sz w:val="22"/>
          <w:szCs w:val="22"/>
        </w:rPr>
        <w:t>Reglamento sobre la venta y consumo de bebidas alcohólicas del municipio de Zapotlán el Grande, Jalisco: artículos 27 y 32.</w:t>
      </w:r>
    </w:p>
    <w:p w14:paraId="23304E50" w14:textId="77777777" w:rsidR="00102680" w:rsidRPr="002F590F" w:rsidRDefault="00102680" w:rsidP="00102680">
      <w:pPr>
        <w:pStyle w:val="Prrafodelista"/>
        <w:numPr>
          <w:ilvl w:val="0"/>
          <w:numId w:val="1"/>
        </w:numPr>
        <w:spacing w:after="160" w:line="276" w:lineRule="auto"/>
        <w:jc w:val="both"/>
        <w:rPr>
          <w:rFonts w:ascii="Century Gothic" w:hAnsi="Century Gothic" w:cs="Arial"/>
          <w:sz w:val="22"/>
          <w:szCs w:val="22"/>
        </w:rPr>
      </w:pPr>
      <w:r w:rsidRPr="002F590F">
        <w:rPr>
          <w:rFonts w:ascii="Century Gothic" w:hAnsi="Century Gothic" w:cs="Arial"/>
          <w:sz w:val="22"/>
          <w:szCs w:val="22"/>
        </w:rPr>
        <w:t>Reglamento de Mercados y Tianguis del Municipio de Zapotlán el Grande, Jalisco: artículos 24 fracción IV, 30, 32 y 35.</w:t>
      </w:r>
    </w:p>
    <w:p w14:paraId="0F3914A1" w14:textId="77777777" w:rsidR="00102680" w:rsidRPr="002F590F" w:rsidRDefault="00102680" w:rsidP="00102680">
      <w:pPr>
        <w:pStyle w:val="Prrafodelista"/>
        <w:numPr>
          <w:ilvl w:val="0"/>
          <w:numId w:val="1"/>
        </w:numPr>
        <w:shd w:val="clear" w:color="auto" w:fill="FFFFFF"/>
        <w:spacing w:after="160" w:line="259" w:lineRule="auto"/>
        <w:jc w:val="both"/>
        <w:rPr>
          <w:rFonts w:ascii="Century Gothic" w:eastAsia="Times New Roman" w:hAnsi="Century Gothic" w:cs="Arial"/>
          <w:sz w:val="22"/>
          <w:szCs w:val="22"/>
          <w:lang w:val="es-MX" w:eastAsia="es-MX"/>
        </w:rPr>
      </w:pPr>
      <w:r w:rsidRPr="002F590F">
        <w:rPr>
          <w:rFonts w:ascii="Century Gothic" w:eastAsia="Times New Roman" w:hAnsi="Century Gothic" w:cs="Arial"/>
          <w:sz w:val="22"/>
          <w:szCs w:val="22"/>
          <w:lang w:val="es-MX" w:eastAsia="es-MX"/>
        </w:rPr>
        <w:t>Ley de Hacienda Municipal del Estado de Jalisco: artículos 35, 37 Fracción III, IV artículo 50, 58 y 63.</w:t>
      </w:r>
    </w:p>
    <w:p w14:paraId="1BD9157E" w14:textId="77777777" w:rsidR="00102680" w:rsidRPr="002F590F" w:rsidRDefault="00102680" w:rsidP="00102680">
      <w:pPr>
        <w:pStyle w:val="Prrafodelista"/>
        <w:numPr>
          <w:ilvl w:val="0"/>
          <w:numId w:val="1"/>
        </w:numPr>
        <w:shd w:val="clear" w:color="auto" w:fill="FFFFFF"/>
        <w:spacing w:after="160" w:line="259" w:lineRule="auto"/>
        <w:jc w:val="both"/>
        <w:rPr>
          <w:rFonts w:ascii="Century Gothic" w:eastAsia="Times New Roman" w:hAnsi="Century Gothic" w:cs="Arial"/>
          <w:sz w:val="22"/>
          <w:szCs w:val="22"/>
          <w:lang w:val="es-MX" w:eastAsia="es-MX"/>
        </w:rPr>
      </w:pPr>
      <w:r w:rsidRPr="002F590F">
        <w:rPr>
          <w:rFonts w:ascii="Century Gothic" w:eastAsia="Times New Roman" w:hAnsi="Century Gothic" w:cs="Arial"/>
          <w:sz w:val="22"/>
          <w:szCs w:val="22"/>
          <w:lang w:val="es-MX" w:eastAsia="es-MX"/>
        </w:rPr>
        <w:t>Ley de Ingresos del Municipio de Zapotlán el Grande 2023, artículo 17.</w:t>
      </w:r>
    </w:p>
    <w:p w14:paraId="721A54AB" w14:textId="77777777" w:rsidR="00102680" w:rsidRPr="002F590F" w:rsidRDefault="00102680" w:rsidP="00102680">
      <w:pPr>
        <w:pStyle w:val="Prrafodelista"/>
        <w:numPr>
          <w:ilvl w:val="0"/>
          <w:numId w:val="1"/>
        </w:numPr>
        <w:shd w:val="clear" w:color="auto" w:fill="FFFFFF"/>
        <w:spacing w:after="160" w:line="259" w:lineRule="auto"/>
        <w:jc w:val="both"/>
        <w:rPr>
          <w:rFonts w:ascii="Century Gothic" w:eastAsia="Times New Roman" w:hAnsi="Century Gothic" w:cs="Arial"/>
          <w:sz w:val="22"/>
          <w:szCs w:val="22"/>
          <w:lang w:val="es-MX" w:eastAsia="es-MX"/>
        </w:rPr>
      </w:pPr>
      <w:r w:rsidRPr="002F590F">
        <w:rPr>
          <w:rFonts w:ascii="Century Gothic" w:eastAsia="Times New Roman" w:hAnsi="Century Gothic" w:cs="Arial"/>
          <w:sz w:val="22"/>
          <w:szCs w:val="22"/>
          <w:lang w:val="es-MX" w:eastAsia="es-MX"/>
        </w:rPr>
        <w:t>Reglamento del Gobierno y la Administración Pública Municipal de Zapotlán el Grande, Jalisco: artículo 90 fracción XVII, artículo 169 fracción XV</w:t>
      </w:r>
    </w:p>
    <w:p w14:paraId="772F126A" w14:textId="77777777" w:rsidR="00102680" w:rsidRPr="002F590F" w:rsidRDefault="00102680" w:rsidP="00102680">
      <w:pPr>
        <w:jc w:val="both"/>
        <w:rPr>
          <w:rFonts w:ascii="Century Gothic" w:eastAsia="Times New Roman" w:hAnsi="Century Gothic" w:cs="Arial"/>
          <w:sz w:val="22"/>
          <w:szCs w:val="22"/>
          <w:lang w:eastAsia="es-MX"/>
        </w:rPr>
      </w:pPr>
      <w:r w:rsidRPr="002F590F">
        <w:rPr>
          <w:rFonts w:ascii="Century Gothic" w:hAnsi="Century Gothic" w:cs="Arial"/>
          <w:sz w:val="22"/>
          <w:szCs w:val="22"/>
        </w:rPr>
        <w:t xml:space="preserve">Los Datos mencionados </w:t>
      </w:r>
      <w:r w:rsidRPr="002F590F">
        <w:rPr>
          <w:rFonts w:ascii="Century Gothic" w:eastAsia="Times New Roman" w:hAnsi="Century Gothic" w:cs="Arial"/>
          <w:sz w:val="22"/>
          <w:szCs w:val="22"/>
          <w:lang w:eastAsia="es-MX"/>
        </w:rPr>
        <w:t xml:space="preserve">podrán ser recabados, directa o indirectamente tanto de forma física como electrónica y serán utilizados única y exclusivamente para llevar a cabo los objetivos y cumplir con las atribuciones de la </w:t>
      </w:r>
      <w:r w:rsidRPr="002F590F">
        <w:rPr>
          <w:rFonts w:ascii="Century Gothic" w:hAnsi="Century Gothic" w:cs="Arial"/>
          <w:sz w:val="22"/>
          <w:szCs w:val="22"/>
        </w:rPr>
        <w:t>Dirección de Ingresos</w:t>
      </w:r>
      <w:r w:rsidRPr="002F590F">
        <w:rPr>
          <w:rFonts w:ascii="Century Gothic" w:eastAsia="Times New Roman" w:hAnsi="Century Gothic" w:cs="Arial"/>
          <w:sz w:val="22"/>
          <w:szCs w:val="22"/>
          <w:lang w:eastAsia="es-MX"/>
        </w:rPr>
        <w:t xml:space="preserve"> y los utilizaremos con las siguientes finalidades:</w:t>
      </w:r>
    </w:p>
    <w:p w14:paraId="63E254BB" w14:textId="77777777" w:rsidR="00102680" w:rsidRPr="002F590F" w:rsidRDefault="00102680" w:rsidP="00102680">
      <w:pPr>
        <w:jc w:val="both"/>
        <w:rPr>
          <w:rFonts w:ascii="Century Gothic" w:eastAsia="Times New Roman" w:hAnsi="Century Gothic" w:cs="Arial"/>
          <w:sz w:val="22"/>
          <w:szCs w:val="22"/>
          <w:lang w:eastAsia="es-MX"/>
        </w:rPr>
      </w:pPr>
    </w:p>
    <w:p w14:paraId="7CD97D3F" w14:textId="77777777" w:rsidR="00102680" w:rsidRPr="002F590F" w:rsidRDefault="00102680" w:rsidP="00102680">
      <w:pPr>
        <w:pStyle w:val="Prrafodelista"/>
        <w:numPr>
          <w:ilvl w:val="0"/>
          <w:numId w:val="3"/>
        </w:numPr>
        <w:shd w:val="clear" w:color="auto" w:fill="FFFFFF"/>
        <w:jc w:val="both"/>
        <w:rPr>
          <w:rFonts w:ascii="Century Gothic" w:eastAsia="Times New Roman" w:hAnsi="Century Gothic" w:cs="Arial"/>
          <w:sz w:val="22"/>
          <w:szCs w:val="22"/>
          <w:lang w:val="es-MX" w:eastAsia="es-MX"/>
        </w:rPr>
      </w:pPr>
      <w:bookmarkStart w:id="0" w:name="_Hlk142590659"/>
      <w:r w:rsidRPr="002F590F">
        <w:rPr>
          <w:rFonts w:ascii="Century Gothic" w:eastAsia="Times New Roman" w:hAnsi="Century Gothic" w:cs="Arial"/>
          <w:sz w:val="22"/>
          <w:szCs w:val="22"/>
          <w:lang w:val="es-MX" w:eastAsia="es-MX"/>
        </w:rPr>
        <w:t>Pagos diversos.</w:t>
      </w:r>
    </w:p>
    <w:p w14:paraId="3EA6C8A2" w14:textId="77777777" w:rsidR="00102680" w:rsidRPr="002F590F" w:rsidRDefault="00102680" w:rsidP="00102680">
      <w:pPr>
        <w:pStyle w:val="Prrafodelista"/>
        <w:numPr>
          <w:ilvl w:val="0"/>
          <w:numId w:val="3"/>
        </w:numPr>
        <w:shd w:val="clear" w:color="auto" w:fill="FFFFFF"/>
        <w:jc w:val="both"/>
        <w:rPr>
          <w:rFonts w:ascii="Century Gothic" w:eastAsia="Times New Roman" w:hAnsi="Century Gothic" w:cs="Arial"/>
          <w:sz w:val="22"/>
          <w:szCs w:val="22"/>
          <w:lang w:val="es-MX" w:eastAsia="es-MX"/>
        </w:rPr>
      </w:pPr>
      <w:r w:rsidRPr="002F590F">
        <w:rPr>
          <w:rFonts w:ascii="Century Gothic" w:eastAsia="Times New Roman" w:hAnsi="Century Gothic" w:cs="Arial"/>
          <w:sz w:val="22"/>
          <w:szCs w:val="22"/>
          <w:lang w:val="es-MX" w:eastAsia="es-MX"/>
        </w:rPr>
        <w:t>Dar trámite a devoluciones.</w:t>
      </w:r>
    </w:p>
    <w:p w14:paraId="1F6BB450" w14:textId="77777777" w:rsidR="00102680" w:rsidRPr="002F590F" w:rsidRDefault="00102680" w:rsidP="00102680">
      <w:pPr>
        <w:pStyle w:val="Prrafodelista"/>
        <w:numPr>
          <w:ilvl w:val="0"/>
          <w:numId w:val="3"/>
        </w:numPr>
        <w:shd w:val="clear" w:color="auto" w:fill="FFFFFF"/>
        <w:jc w:val="both"/>
        <w:rPr>
          <w:rFonts w:ascii="Century Gothic" w:eastAsia="Times New Roman" w:hAnsi="Century Gothic" w:cs="Arial"/>
          <w:sz w:val="22"/>
          <w:szCs w:val="22"/>
          <w:lang w:val="es-MX" w:eastAsia="es-MX"/>
        </w:rPr>
      </w:pPr>
      <w:r w:rsidRPr="002F590F">
        <w:rPr>
          <w:rFonts w:ascii="Century Gothic" w:eastAsia="Times New Roman" w:hAnsi="Century Gothic" w:cs="Arial"/>
          <w:sz w:val="22"/>
          <w:szCs w:val="22"/>
          <w:lang w:val="es-MX" w:eastAsia="es-MX"/>
        </w:rPr>
        <w:t>Realizar convenios.</w:t>
      </w:r>
    </w:p>
    <w:p w14:paraId="01F12327" w14:textId="77777777" w:rsidR="00102680" w:rsidRPr="002F590F" w:rsidRDefault="00102680" w:rsidP="00102680">
      <w:pPr>
        <w:pStyle w:val="Prrafodelista"/>
        <w:numPr>
          <w:ilvl w:val="0"/>
          <w:numId w:val="3"/>
        </w:numPr>
        <w:shd w:val="clear" w:color="auto" w:fill="FFFFFF"/>
        <w:jc w:val="both"/>
        <w:rPr>
          <w:rFonts w:ascii="Century Gothic" w:eastAsia="Arial Unicode MS" w:hAnsi="Century Gothic" w:cs="Arial"/>
          <w:sz w:val="22"/>
          <w:szCs w:val="22"/>
          <w:lang w:eastAsia="en-US"/>
        </w:rPr>
      </w:pPr>
      <w:r w:rsidRPr="002F590F">
        <w:rPr>
          <w:rFonts w:ascii="Century Gothic" w:eastAsia="Times New Roman" w:hAnsi="Century Gothic" w:cs="Arial"/>
          <w:sz w:val="22"/>
          <w:szCs w:val="22"/>
          <w:lang w:val="es-MX" w:eastAsia="es-MX"/>
        </w:rPr>
        <w:t>Aplicar incentivos fiscales.</w:t>
      </w:r>
    </w:p>
    <w:p w14:paraId="1ADE4A97" w14:textId="77777777" w:rsidR="00102680" w:rsidRPr="002F590F" w:rsidRDefault="00102680" w:rsidP="00102680">
      <w:pPr>
        <w:pStyle w:val="Prrafodelista"/>
        <w:widowControl w:val="0"/>
        <w:numPr>
          <w:ilvl w:val="0"/>
          <w:numId w:val="3"/>
        </w:numPr>
        <w:tabs>
          <w:tab w:val="left" w:pos="827"/>
        </w:tabs>
        <w:autoSpaceDE w:val="0"/>
        <w:autoSpaceDN w:val="0"/>
        <w:spacing w:before="1" w:line="252" w:lineRule="exact"/>
        <w:contextualSpacing w:val="0"/>
        <w:jc w:val="both"/>
        <w:rPr>
          <w:rFonts w:ascii="Century Gothic" w:hAnsi="Century Gothic" w:cs="Arial"/>
          <w:sz w:val="22"/>
          <w:szCs w:val="22"/>
        </w:rPr>
      </w:pPr>
      <w:r w:rsidRPr="002F590F">
        <w:rPr>
          <w:rFonts w:ascii="Century Gothic" w:hAnsi="Century Gothic" w:cs="Arial"/>
          <w:sz w:val="22"/>
          <w:szCs w:val="22"/>
        </w:rPr>
        <w:t>Facturación</w:t>
      </w:r>
      <w:r w:rsidRPr="002F590F">
        <w:rPr>
          <w:rFonts w:ascii="Century Gothic" w:hAnsi="Century Gothic" w:cs="Arial"/>
          <w:spacing w:val="41"/>
          <w:sz w:val="22"/>
          <w:szCs w:val="22"/>
        </w:rPr>
        <w:t xml:space="preserve"> </w:t>
      </w:r>
      <w:r w:rsidRPr="002F590F">
        <w:rPr>
          <w:rFonts w:ascii="Century Gothic" w:hAnsi="Century Gothic" w:cs="Arial"/>
          <w:sz w:val="22"/>
          <w:szCs w:val="22"/>
        </w:rPr>
        <w:t>electrónica.</w:t>
      </w:r>
    </w:p>
    <w:p w14:paraId="5CE037E8" w14:textId="77777777" w:rsidR="00102680" w:rsidRPr="002F590F" w:rsidRDefault="00102680" w:rsidP="00102680">
      <w:pPr>
        <w:pStyle w:val="Prrafodelista"/>
        <w:widowControl w:val="0"/>
        <w:numPr>
          <w:ilvl w:val="0"/>
          <w:numId w:val="3"/>
        </w:numPr>
        <w:shd w:val="clear" w:color="auto" w:fill="FFFFFF"/>
        <w:tabs>
          <w:tab w:val="left" w:pos="827"/>
        </w:tabs>
        <w:autoSpaceDE w:val="0"/>
        <w:autoSpaceDN w:val="0"/>
        <w:spacing w:line="252" w:lineRule="exact"/>
        <w:contextualSpacing w:val="0"/>
        <w:jc w:val="both"/>
        <w:rPr>
          <w:rFonts w:ascii="Century Gothic" w:eastAsia="Arial Unicode MS" w:hAnsi="Century Gothic" w:cs="Arial"/>
          <w:sz w:val="22"/>
          <w:szCs w:val="22"/>
          <w:lang w:val="es-MX" w:eastAsia="en-US"/>
        </w:rPr>
      </w:pPr>
      <w:r w:rsidRPr="002F590F">
        <w:rPr>
          <w:rFonts w:ascii="Century Gothic" w:hAnsi="Century Gothic" w:cs="Arial"/>
          <w:sz w:val="22"/>
          <w:szCs w:val="22"/>
        </w:rPr>
        <w:t>Cancelación</w:t>
      </w:r>
      <w:r w:rsidRPr="002F590F">
        <w:rPr>
          <w:rFonts w:ascii="Century Gothic" w:hAnsi="Century Gothic" w:cs="Arial"/>
          <w:spacing w:val="-5"/>
          <w:sz w:val="22"/>
          <w:szCs w:val="22"/>
        </w:rPr>
        <w:t xml:space="preserve"> </w:t>
      </w:r>
      <w:r w:rsidRPr="002F590F">
        <w:rPr>
          <w:rFonts w:ascii="Century Gothic" w:hAnsi="Century Gothic" w:cs="Arial"/>
          <w:sz w:val="22"/>
          <w:szCs w:val="22"/>
        </w:rPr>
        <w:t>de</w:t>
      </w:r>
      <w:r w:rsidRPr="002F590F">
        <w:rPr>
          <w:rFonts w:ascii="Century Gothic" w:hAnsi="Century Gothic" w:cs="Arial"/>
          <w:spacing w:val="-7"/>
          <w:sz w:val="22"/>
          <w:szCs w:val="22"/>
        </w:rPr>
        <w:t xml:space="preserve"> </w:t>
      </w:r>
      <w:r w:rsidRPr="002F590F">
        <w:rPr>
          <w:rFonts w:ascii="Century Gothic" w:hAnsi="Century Gothic" w:cs="Arial"/>
          <w:sz w:val="22"/>
          <w:szCs w:val="22"/>
        </w:rPr>
        <w:t>facturación</w:t>
      </w:r>
      <w:r w:rsidRPr="002F590F">
        <w:rPr>
          <w:rFonts w:ascii="Century Gothic" w:hAnsi="Century Gothic" w:cs="Arial"/>
          <w:spacing w:val="-4"/>
          <w:sz w:val="22"/>
          <w:szCs w:val="22"/>
        </w:rPr>
        <w:t xml:space="preserve"> </w:t>
      </w:r>
      <w:r w:rsidRPr="002F590F">
        <w:rPr>
          <w:rFonts w:ascii="Century Gothic" w:hAnsi="Century Gothic" w:cs="Arial"/>
          <w:sz w:val="22"/>
          <w:szCs w:val="22"/>
        </w:rPr>
        <w:t>electrónica.</w:t>
      </w:r>
    </w:p>
    <w:p w14:paraId="20CDA0D7" w14:textId="77777777" w:rsidR="00102680" w:rsidRPr="002F590F" w:rsidRDefault="00102680" w:rsidP="00102680">
      <w:pPr>
        <w:pStyle w:val="Prrafodelista"/>
        <w:numPr>
          <w:ilvl w:val="0"/>
          <w:numId w:val="3"/>
        </w:numPr>
        <w:shd w:val="clear" w:color="auto" w:fill="FFFFFF"/>
        <w:jc w:val="both"/>
        <w:rPr>
          <w:rFonts w:ascii="Century Gothic" w:eastAsia="Times New Roman" w:hAnsi="Century Gothic" w:cs="Arial"/>
          <w:sz w:val="22"/>
          <w:szCs w:val="22"/>
          <w:lang w:val="es-MX" w:eastAsia="es-MX"/>
        </w:rPr>
      </w:pPr>
      <w:r w:rsidRPr="002F590F">
        <w:rPr>
          <w:rFonts w:ascii="Century Gothic" w:eastAsia="Times New Roman" w:hAnsi="Century Gothic" w:cs="Arial"/>
          <w:sz w:val="22"/>
          <w:szCs w:val="22"/>
          <w:lang w:val="es-MX" w:eastAsia="es-MX"/>
        </w:rPr>
        <w:t>Practicar notificaciones.</w:t>
      </w:r>
    </w:p>
    <w:p w14:paraId="0BA01E9E" w14:textId="77777777" w:rsidR="00102680" w:rsidRPr="002F590F" w:rsidRDefault="00102680" w:rsidP="00102680">
      <w:pPr>
        <w:pStyle w:val="Prrafodelista"/>
        <w:numPr>
          <w:ilvl w:val="0"/>
          <w:numId w:val="3"/>
        </w:numPr>
        <w:shd w:val="clear" w:color="auto" w:fill="FFFFFF"/>
        <w:jc w:val="both"/>
        <w:rPr>
          <w:rFonts w:ascii="Century Gothic" w:eastAsia="Times New Roman" w:hAnsi="Century Gothic" w:cs="Arial"/>
          <w:sz w:val="22"/>
          <w:szCs w:val="22"/>
          <w:lang w:val="es-MX" w:eastAsia="es-MX"/>
        </w:rPr>
      </w:pPr>
      <w:r w:rsidRPr="002F590F">
        <w:rPr>
          <w:rFonts w:ascii="Century Gothic" w:eastAsia="Times New Roman" w:hAnsi="Century Gothic" w:cs="Arial"/>
          <w:sz w:val="22"/>
          <w:szCs w:val="22"/>
          <w:lang w:val="es-MX" w:eastAsia="es-MX"/>
        </w:rPr>
        <w:t>Dar trámite y seguimiento a solicitudes de convenios para pago del impuesto predial en parcialidades.</w:t>
      </w:r>
    </w:p>
    <w:p w14:paraId="32C47C2F" w14:textId="77777777" w:rsidR="00102680" w:rsidRPr="002F590F" w:rsidRDefault="00102680" w:rsidP="00102680">
      <w:pPr>
        <w:pStyle w:val="Prrafodelista"/>
        <w:numPr>
          <w:ilvl w:val="0"/>
          <w:numId w:val="3"/>
        </w:numPr>
        <w:shd w:val="clear" w:color="auto" w:fill="FFFFFF"/>
        <w:jc w:val="both"/>
        <w:rPr>
          <w:rFonts w:ascii="Century Gothic" w:eastAsia="Times New Roman" w:hAnsi="Century Gothic" w:cs="Arial"/>
          <w:sz w:val="22"/>
          <w:szCs w:val="22"/>
          <w:lang w:val="es-MX" w:eastAsia="es-MX"/>
        </w:rPr>
      </w:pPr>
      <w:r w:rsidRPr="002F590F">
        <w:rPr>
          <w:rFonts w:ascii="Century Gothic" w:eastAsia="Times New Roman" w:hAnsi="Century Gothic" w:cs="Arial"/>
          <w:sz w:val="22"/>
          <w:szCs w:val="22"/>
          <w:lang w:val="es-MX" w:eastAsia="es-MX"/>
        </w:rPr>
        <w:t>Dar trámite a solicitudes relacionadas con adeudos municipales.</w:t>
      </w:r>
    </w:p>
    <w:p w14:paraId="36DCE108" w14:textId="77777777" w:rsidR="00102680" w:rsidRPr="002F590F" w:rsidRDefault="00102680" w:rsidP="00102680">
      <w:pPr>
        <w:pStyle w:val="Prrafodelista"/>
        <w:numPr>
          <w:ilvl w:val="0"/>
          <w:numId w:val="3"/>
        </w:numPr>
        <w:pBdr>
          <w:top w:val="nil"/>
          <w:left w:val="nil"/>
          <w:bottom w:val="nil"/>
          <w:right w:val="nil"/>
          <w:between w:val="nil"/>
          <w:bar w:val="nil"/>
        </w:pBdr>
        <w:spacing w:line="276" w:lineRule="auto"/>
        <w:jc w:val="both"/>
        <w:rPr>
          <w:rFonts w:ascii="Century Gothic" w:hAnsi="Century Gothic" w:cs="Arial"/>
          <w:sz w:val="22"/>
          <w:szCs w:val="22"/>
        </w:rPr>
      </w:pPr>
      <w:r w:rsidRPr="002F590F">
        <w:rPr>
          <w:rFonts w:ascii="Century Gothic" w:hAnsi="Century Gothic" w:cs="Arial"/>
          <w:sz w:val="22"/>
          <w:szCs w:val="22"/>
        </w:rPr>
        <w:t xml:space="preserve">Expedir licencia municipal de funcionamiento y permisos. </w:t>
      </w:r>
    </w:p>
    <w:p w14:paraId="52B1AE19" w14:textId="77777777" w:rsidR="00102680" w:rsidRPr="002F590F" w:rsidRDefault="00102680" w:rsidP="00102680">
      <w:pPr>
        <w:pStyle w:val="Prrafodelista"/>
        <w:numPr>
          <w:ilvl w:val="0"/>
          <w:numId w:val="3"/>
        </w:numPr>
        <w:pBdr>
          <w:top w:val="nil"/>
          <w:left w:val="nil"/>
          <w:bottom w:val="nil"/>
          <w:right w:val="nil"/>
          <w:between w:val="nil"/>
          <w:bar w:val="nil"/>
        </w:pBdr>
        <w:spacing w:line="276" w:lineRule="auto"/>
        <w:jc w:val="both"/>
        <w:rPr>
          <w:rFonts w:ascii="Century Gothic" w:hAnsi="Century Gothic" w:cs="Arial"/>
          <w:sz w:val="22"/>
          <w:szCs w:val="22"/>
        </w:rPr>
      </w:pPr>
      <w:r w:rsidRPr="002F590F">
        <w:rPr>
          <w:rFonts w:ascii="Century Gothic" w:hAnsi="Century Gothic" w:cs="Arial"/>
          <w:sz w:val="22"/>
          <w:szCs w:val="22"/>
        </w:rPr>
        <w:t>Integrar expedientes.</w:t>
      </w:r>
    </w:p>
    <w:p w14:paraId="0570C5C9" w14:textId="77777777" w:rsidR="00102680" w:rsidRPr="002F590F" w:rsidRDefault="00102680" w:rsidP="00102680">
      <w:pPr>
        <w:pStyle w:val="Prrafodelista"/>
        <w:numPr>
          <w:ilvl w:val="0"/>
          <w:numId w:val="3"/>
        </w:numPr>
        <w:pBdr>
          <w:top w:val="nil"/>
          <w:left w:val="nil"/>
          <w:bottom w:val="nil"/>
          <w:right w:val="nil"/>
          <w:between w:val="nil"/>
          <w:bar w:val="nil"/>
        </w:pBdr>
        <w:spacing w:line="276" w:lineRule="auto"/>
        <w:jc w:val="both"/>
        <w:rPr>
          <w:rFonts w:ascii="Century Gothic" w:hAnsi="Century Gothic" w:cs="Arial"/>
          <w:sz w:val="22"/>
          <w:szCs w:val="22"/>
        </w:rPr>
      </w:pPr>
      <w:r w:rsidRPr="002F590F">
        <w:rPr>
          <w:rFonts w:ascii="Century Gothic" w:hAnsi="Century Gothic" w:cs="Arial"/>
          <w:sz w:val="22"/>
          <w:szCs w:val="22"/>
        </w:rPr>
        <w:t xml:space="preserve">Realizar notificaciones. </w:t>
      </w:r>
    </w:p>
    <w:bookmarkEnd w:id="0"/>
    <w:p w14:paraId="5260552F" w14:textId="77777777" w:rsidR="00102680" w:rsidRPr="002F590F" w:rsidRDefault="00102680" w:rsidP="00102680">
      <w:pPr>
        <w:pStyle w:val="Prrafodelista"/>
        <w:shd w:val="clear" w:color="auto" w:fill="FFFFFF"/>
        <w:jc w:val="both"/>
        <w:rPr>
          <w:rFonts w:ascii="Century Gothic" w:hAnsi="Century Gothic" w:cs="Arial"/>
          <w:sz w:val="22"/>
          <w:szCs w:val="22"/>
          <w:lang w:val="es-MX"/>
        </w:rPr>
      </w:pPr>
    </w:p>
    <w:p w14:paraId="54B0C982" w14:textId="0F22773B" w:rsidR="00102680" w:rsidRPr="002F590F" w:rsidRDefault="00102680" w:rsidP="00102680">
      <w:pPr>
        <w:shd w:val="clear" w:color="auto" w:fill="FFFFFF"/>
        <w:jc w:val="both"/>
        <w:rPr>
          <w:rFonts w:ascii="Century Gothic" w:eastAsia="Times New Roman" w:hAnsi="Century Gothic" w:cs="Arial"/>
          <w:sz w:val="22"/>
          <w:szCs w:val="22"/>
          <w:lang w:eastAsia="es-MX"/>
        </w:rPr>
      </w:pPr>
      <w:r w:rsidRPr="002F590F">
        <w:rPr>
          <w:rFonts w:ascii="Century Gothic" w:eastAsia="Times New Roman" w:hAnsi="Century Gothic" w:cs="Arial"/>
          <w:sz w:val="22"/>
          <w:szCs w:val="22"/>
          <w:lang w:eastAsia="es-MX"/>
        </w:rPr>
        <w:t xml:space="preserve">Se le informa que, con la aceptación del presente aviso de privacidad, se entiende que otorga su autorización para que se transfieran sus datos personales a terceros, </w:t>
      </w:r>
      <w:r w:rsidRPr="002F590F">
        <w:rPr>
          <w:rFonts w:ascii="Century Gothic" w:eastAsia="Times New Roman" w:hAnsi="Century Gothic" w:cs="Arial"/>
          <w:sz w:val="22"/>
          <w:szCs w:val="22"/>
          <w:lang w:eastAsia="es-MX"/>
        </w:rPr>
        <w:lastRenderedPageBreak/>
        <w:t>sin que para ello se requiera recabar expresamente su consentimiento; por lo tanto, en relación a la transferencia de información confidencial, los terceros receptores de los Datos Personales pueden ser:</w:t>
      </w:r>
    </w:p>
    <w:p w14:paraId="1D2F6D79" w14:textId="77777777" w:rsidR="00102680" w:rsidRPr="002F590F" w:rsidRDefault="00102680" w:rsidP="00102680">
      <w:pPr>
        <w:shd w:val="clear" w:color="auto" w:fill="FFFFFF"/>
        <w:jc w:val="both"/>
        <w:rPr>
          <w:rFonts w:ascii="Century Gothic" w:eastAsia="Times New Roman" w:hAnsi="Century Gothic" w:cs="Arial"/>
          <w:sz w:val="22"/>
          <w:szCs w:val="22"/>
          <w:lang w:eastAsia="es-MX"/>
        </w:rPr>
      </w:pPr>
    </w:p>
    <w:p w14:paraId="3F878E5A" w14:textId="77777777" w:rsidR="00102680" w:rsidRPr="002F590F" w:rsidRDefault="00102680" w:rsidP="00102680">
      <w:pPr>
        <w:pStyle w:val="Prrafodelista"/>
        <w:numPr>
          <w:ilvl w:val="0"/>
          <w:numId w:val="2"/>
        </w:numPr>
        <w:shd w:val="clear" w:color="auto" w:fill="FFFFFF"/>
        <w:spacing w:after="160" w:line="259" w:lineRule="auto"/>
        <w:jc w:val="both"/>
        <w:rPr>
          <w:rFonts w:ascii="Century Gothic" w:eastAsia="Times New Roman" w:hAnsi="Century Gothic" w:cs="Arial"/>
          <w:sz w:val="22"/>
          <w:szCs w:val="22"/>
          <w:lang w:val="es-MX" w:eastAsia="es-MX"/>
        </w:rPr>
      </w:pPr>
      <w:r w:rsidRPr="002F590F">
        <w:rPr>
          <w:rFonts w:ascii="Century Gothic" w:eastAsia="Times New Roman" w:hAnsi="Century Gothic" w:cs="Arial"/>
          <w:sz w:val="22"/>
          <w:szCs w:val="22"/>
          <w:lang w:val="es-MX" w:eastAsia="es-MX"/>
        </w:rPr>
        <w:t xml:space="preserve">Autoridades Jurisdiccionales en el ejercicio de sus atribuciones, con la finalidad de dar cumplimiento a los requerimientos judiciales; </w:t>
      </w:r>
    </w:p>
    <w:p w14:paraId="4E6CF2E7" w14:textId="77777777" w:rsidR="00102680" w:rsidRPr="002F590F" w:rsidRDefault="00102680" w:rsidP="00102680">
      <w:pPr>
        <w:pStyle w:val="Prrafodelista"/>
        <w:numPr>
          <w:ilvl w:val="0"/>
          <w:numId w:val="2"/>
        </w:numPr>
        <w:shd w:val="clear" w:color="auto" w:fill="FFFFFF"/>
        <w:spacing w:after="160" w:line="259" w:lineRule="auto"/>
        <w:jc w:val="both"/>
        <w:rPr>
          <w:rFonts w:ascii="Century Gothic" w:eastAsia="Times New Roman" w:hAnsi="Century Gothic" w:cs="Arial"/>
          <w:sz w:val="22"/>
          <w:szCs w:val="22"/>
          <w:lang w:val="es-MX" w:eastAsia="es-MX"/>
        </w:rPr>
      </w:pPr>
      <w:r w:rsidRPr="002F590F">
        <w:rPr>
          <w:rFonts w:ascii="Century Gothic" w:eastAsia="Times New Roman" w:hAnsi="Century Gothic" w:cs="Arial"/>
          <w:sz w:val="22"/>
          <w:szCs w:val="22"/>
          <w:lang w:val="es-MX" w:eastAsia="es-MX"/>
        </w:rPr>
        <w:t xml:space="preserve">Autoridades Administrativas, cuando lo requieran en el ejercicio de sus atribuciones; </w:t>
      </w:r>
    </w:p>
    <w:p w14:paraId="44AF6A73" w14:textId="77777777" w:rsidR="00102680" w:rsidRPr="002F590F" w:rsidRDefault="00102680" w:rsidP="00102680">
      <w:pPr>
        <w:pStyle w:val="Prrafodelista"/>
        <w:numPr>
          <w:ilvl w:val="0"/>
          <w:numId w:val="2"/>
        </w:numPr>
        <w:shd w:val="clear" w:color="auto" w:fill="FFFFFF"/>
        <w:spacing w:after="160" w:line="259" w:lineRule="auto"/>
        <w:jc w:val="both"/>
        <w:rPr>
          <w:rFonts w:ascii="Century Gothic" w:eastAsia="Times New Roman" w:hAnsi="Century Gothic" w:cs="Arial"/>
          <w:sz w:val="22"/>
          <w:szCs w:val="22"/>
          <w:lang w:val="es-MX" w:eastAsia="es-MX"/>
        </w:rPr>
      </w:pPr>
      <w:r w:rsidRPr="002F590F">
        <w:rPr>
          <w:rFonts w:ascii="Century Gothic" w:eastAsia="Times New Roman" w:hAnsi="Century Gothic" w:cs="Arial"/>
          <w:sz w:val="22"/>
          <w:szCs w:val="22"/>
          <w:lang w:val="es-MX" w:eastAsia="es-MX"/>
        </w:rPr>
        <w:t>Otros Sujetos Obligados del Estado de Jalisco, cuando se estime que son competentes respecto a una solicitud de acceso a la información presentada ante este sujeto obligado;</w:t>
      </w:r>
    </w:p>
    <w:p w14:paraId="18939226" w14:textId="77777777" w:rsidR="00102680" w:rsidRPr="002F590F" w:rsidRDefault="00102680" w:rsidP="00102680">
      <w:pPr>
        <w:shd w:val="clear" w:color="auto" w:fill="FFFFFF"/>
        <w:jc w:val="both"/>
        <w:rPr>
          <w:rFonts w:ascii="Century Gothic" w:eastAsia="Times New Roman" w:hAnsi="Century Gothic" w:cs="Arial"/>
          <w:sz w:val="22"/>
          <w:szCs w:val="22"/>
          <w:lang w:eastAsia="es-MX"/>
        </w:rPr>
      </w:pPr>
    </w:p>
    <w:p w14:paraId="705A8382" w14:textId="77777777" w:rsidR="00102680" w:rsidRPr="002F590F" w:rsidRDefault="00102680" w:rsidP="00102680">
      <w:pPr>
        <w:shd w:val="clear" w:color="auto" w:fill="FFFFFF"/>
        <w:jc w:val="both"/>
        <w:rPr>
          <w:rFonts w:ascii="Century Gothic" w:eastAsia="Times New Roman" w:hAnsi="Century Gothic" w:cs="Arial"/>
          <w:sz w:val="22"/>
          <w:szCs w:val="22"/>
          <w:lang w:eastAsia="es-MX"/>
        </w:rPr>
      </w:pPr>
      <w:r w:rsidRPr="002F590F">
        <w:rPr>
          <w:rFonts w:ascii="Century Gothic" w:eastAsia="Times New Roman" w:hAnsi="Century Gothic" w:cs="Arial"/>
          <w:sz w:val="22"/>
          <w:szCs w:val="22"/>
          <w:lang w:eastAsia="es-MX"/>
        </w:rPr>
        <w:t xml:space="preserve">De igual forma en los casos en que la información se encuentre en los supuestos de excepción previstos por el artículo 75 de la Ley de Protección de Datos Personales en Posesión de Sujetos Obligados del Estado de Jalisco y sus Municipios. </w:t>
      </w:r>
    </w:p>
    <w:p w14:paraId="5B740BE9" w14:textId="77777777" w:rsidR="00102680" w:rsidRPr="002F590F" w:rsidRDefault="00102680" w:rsidP="00102680">
      <w:pPr>
        <w:shd w:val="clear" w:color="auto" w:fill="FFFFFF"/>
        <w:jc w:val="both"/>
        <w:rPr>
          <w:rFonts w:ascii="Century Gothic" w:eastAsia="Times New Roman" w:hAnsi="Century Gothic" w:cs="Arial"/>
          <w:sz w:val="22"/>
          <w:szCs w:val="22"/>
          <w:lang w:eastAsia="es-MX"/>
        </w:rPr>
      </w:pPr>
    </w:p>
    <w:p w14:paraId="0DF9C2E3" w14:textId="77777777" w:rsidR="00102680" w:rsidRPr="002F590F" w:rsidRDefault="00102680" w:rsidP="00102680">
      <w:pPr>
        <w:shd w:val="clear" w:color="auto" w:fill="FFFFFF"/>
        <w:jc w:val="both"/>
        <w:rPr>
          <w:rFonts w:ascii="Century Gothic" w:eastAsia="Times New Roman" w:hAnsi="Century Gothic" w:cs="Arial"/>
          <w:sz w:val="22"/>
          <w:szCs w:val="22"/>
          <w:lang w:eastAsia="es-MX"/>
        </w:rPr>
      </w:pPr>
      <w:r w:rsidRPr="002F590F">
        <w:rPr>
          <w:rFonts w:ascii="Century Gothic" w:eastAsia="Times New Roman" w:hAnsi="Century Gothic" w:cs="Arial"/>
          <w:sz w:val="22"/>
          <w:szCs w:val="22"/>
          <w:lang w:eastAsia="es-MX"/>
        </w:rPr>
        <w:t>No se consideran transferencias las remisiones, ni la comunicación de datos entre áreas o unidades administrativas adscritas al mismo sujeto obligado en el ejercicio de sus atribuciones.</w:t>
      </w:r>
    </w:p>
    <w:p w14:paraId="41B63EC1" w14:textId="77777777" w:rsidR="00102680" w:rsidRPr="002F590F" w:rsidRDefault="00102680" w:rsidP="00102680">
      <w:pPr>
        <w:shd w:val="clear" w:color="auto" w:fill="FFFFFF"/>
        <w:jc w:val="both"/>
        <w:rPr>
          <w:rFonts w:ascii="Century Gothic" w:eastAsia="Times New Roman" w:hAnsi="Century Gothic" w:cs="Arial"/>
          <w:sz w:val="22"/>
          <w:szCs w:val="22"/>
          <w:lang w:eastAsia="es-MX"/>
        </w:rPr>
      </w:pPr>
    </w:p>
    <w:p w14:paraId="0792461D" w14:textId="77777777" w:rsidR="00102680" w:rsidRPr="002F590F" w:rsidRDefault="00102680" w:rsidP="00102680">
      <w:pPr>
        <w:shd w:val="clear" w:color="auto" w:fill="FFFFFF"/>
        <w:jc w:val="both"/>
        <w:rPr>
          <w:rFonts w:ascii="Century Gothic" w:eastAsia="Times New Roman" w:hAnsi="Century Gothic" w:cs="Arial"/>
          <w:sz w:val="22"/>
          <w:szCs w:val="22"/>
          <w:lang w:eastAsia="es-MX"/>
        </w:rPr>
      </w:pPr>
      <w:r w:rsidRPr="002F590F">
        <w:rPr>
          <w:rFonts w:ascii="Century Gothic" w:eastAsia="Times New Roman" w:hAnsi="Century Gothic" w:cs="Arial"/>
          <w:sz w:val="22"/>
          <w:szCs w:val="22"/>
          <w:lang w:eastAsia="es-MX"/>
        </w:rPr>
        <w:t xml:space="preserve">Así mismo se le comunica que los titulares de información confidencial tienen derecho a solicitar en cualquier tiempo el Acceso, Rectificación, Cancelación, Oposición o Revocación del consentimiento del uso de sus datos personales, mediante la presentación de una solicitud de ejercicio de derechos ARCO, ante la Dirección de Transparencia Acceso a la Información y Protección de Datos Personales, ubicada en Colon #62, Colonia Centro de Ciudad Guzmán, Jalisco, por correo electrónico: </w:t>
      </w:r>
      <w:hyperlink r:id="rId9" w:history="1">
        <w:r w:rsidRPr="002F590F">
          <w:rPr>
            <w:rFonts w:ascii="Century Gothic" w:eastAsia="Times New Roman" w:hAnsi="Century Gothic" w:cs="Arial"/>
            <w:sz w:val="22"/>
            <w:szCs w:val="22"/>
            <w:lang w:eastAsia="es-MX"/>
          </w:rPr>
          <w:t>transparencia@ciudadguzman.gob.mx</w:t>
        </w:r>
      </w:hyperlink>
      <w:r w:rsidRPr="002F590F">
        <w:rPr>
          <w:rFonts w:ascii="Century Gothic" w:eastAsia="Times New Roman" w:hAnsi="Century Gothic" w:cs="Arial"/>
          <w:sz w:val="22"/>
          <w:szCs w:val="22"/>
          <w:lang w:eastAsia="es-MX"/>
        </w:rPr>
        <w:t xml:space="preserve">  o bien, a través de la Plataforma Nacional de Transparencia: </w:t>
      </w:r>
      <w:hyperlink r:id="rId10" w:history="1">
        <w:r w:rsidRPr="002F590F">
          <w:rPr>
            <w:rStyle w:val="Hipervnculo"/>
            <w:rFonts w:ascii="Century Gothic" w:eastAsia="Times New Roman" w:hAnsi="Century Gothic" w:cs="Arial"/>
            <w:sz w:val="22"/>
            <w:szCs w:val="22"/>
            <w:lang w:eastAsia="es-MX"/>
          </w:rPr>
          <w:t>https://www.plataformadetransparencia.org.mx/</w:t>
        </w:r>
      </w:hyperlink>
      <w:r w:rsidRPr="002F590F">
        <w:rPr>
          <w:rFonts w:ascii="Century Gothic" w:eastAsia="Times New Roman" w:hAnsi="Century Gothic" w:cs="Arial"/>
          <w:sz w:val="22"/>
          <w:szCs w:val="22"/>
          <w:lang w:eastAsia="es-MX"/>
        </w:rPr>
        <w:t>.</w:t>
      </w:r>
    </w:p>
    <w:p w14:paraId="11986B67" w14:textId="77777777" w:rsidR="00102680" w:rsidRPr="002F590F" w:rsidRDefault="00102680" w:rsidP="00102680">
      <w:pPr>
        <w:shd w:val="clear" w:color="auto" w:fill="FFFFFF"/>
        <w:jc w:val="both"/>
        <w:rPr>
          <w:rFonts w:ascii="Century Gothic" w:eastAsia="Times New Roman" w:hAnsi="Century Gothic" w:cs="Arial"/>
          <w:sz w:val="22"/>
          <w:szCs w:val="22"/>
          <w:lang w:eastAsia="es-MX"/>
        </w:rPr>
      </w:pPr>
    </w:p>
    <w:p w14:paraId="28A864A6" w14:textId="77777777" w:rsidR="00102680" w:rsidRPr="002F590F" w:rsidRDefault="00102680" w:rsidP="00102680">
      <w:pPr>
        <w:jc w:val="both"/>
        <w:rPr>
          <w:rStyle w:val="Hipervnculo"/>
          <w:rFonts w:ascii="Century Gothic" w:eastAsia="Times New Roman" w:hAnsi="Century Gothic" w:cs="Arial"/>
          <w:sz w:val="22"/>
          <w:szCs w:val="22"/>
          <w:lang w:eastAsia="es-MX"/>
        </w:rPr>
      </w:pPr>
      <w:r w:rsidRPr="002F590F">
        <w:rPr>
          <w:rFonts w:ascii="Century Gothic" w:hAnsi="Century Gothic" w:cs="Arial"/>
          <w:sz w:val="22"/>
          <w:szCs w:val="22"/>
        </w:rPr>
        <w:t xml:space="preserve">Debido a las necesidades de mejorar las herramientas y procedimientos para la protección de datos personales, el presente aviso de privacidad puede sufrir modificaciones y/o actualizaciones derivadas, además, de requerimientos y disposiciones legales aplicables que pudieran surgir, incluyendo modificaciones a las políticas de privacidad que se susciten. Cualquier cambio en el presente Aviso de Privacidad se hará del conocimiento de los titulares de la información confidencial, en la siguiente página: </w:t>
      </w:r>
      <w:hyperlink r:id="rId11" w:history="1">
        <w:r w:rsidRPr="002F590F">
          <w:rPr>
            <w:rStyle w:val="Hipervnculo"/>
            <w:rFonts w:ascii="Century Gothic" w:hAnsi="Century Gothic" w:cs="Arial"/>
            <w:sz w:val="22"/>
            <w:szCs w:val="22"/>
          </w:rPr>
          <w:t>http://ciudadguzman.gob.mx/Pagina.aspx</w:t>
        </w:r>
        <w:r w:rsidRPr="002F590F">
          <w:rPr>
            <w:rStyle w:val="Hipervnculo"/>
            <w:rFonts w:ascii="Century Gothic" w:eastAsia="Times New Roman" w:hAnsi="Century Gothic" w:cs="Arial"/>
            <w:sz w:val="22"/>
            <w:szCs w:val="22"/>
            <w:lang w:eastAsia="es-MX"/>
          </w:rPr>
          <w:t>?id=651306b7-3deb-4876-9723-7153ce60182b</w:t>
        </w:r>
      </w:hyperlink>
      <w:r w:rsidRPr="002F590F">
        <w:rPr>
          <w:rFonts w:ascii="Century Gothic" w:eastAsia="Times New Roman" w:hAnsi="Century Gothic" w:cs="Arial"/>
          <w:sz w:val="22"/>
          <w:szCs w:val="22"/>
          <w:lang w:eastAsia="es-MX"/>
        </w:rPr>
        <w:t xml:space="preserve"> </w:t>
      </w:r>
    </w:p>
    <w:p w14:paraId="5F29FDBC" w14:textId="77777777" w:rsidR="00102680" w:rsidRDefault="00102680" w:rsidP="00102680">
      <w:pPr>
        <w:tabs>
          <w:tab w:val="left" w:pos="709"/>
        </w:tabs>
        <w:jc w:val="center"/>
        <w:rPr>
          <w:rFonts w:ascii="Century Gothic" w:hAnsi="Century Gothic" w:cs="Arial"/>
          <w:b/>
          <w:sz w:val="20"/>
        </w:rPr>
      </w:pPr>
    </w:p>
    <w:p w14:paraId="1F015461" w14:textId="77777777" w:rsidR="00324EA8" w:rsidRDefault="00324EA8" w:rsidP="00102680">
      <w:pPr>
        <w:tabs>
          <w:tab w:val="left" w:pos="709"/>
        </w:tabs>
        <w:jc w:val="center"/>
        <w:rPr>
          <w:rFonts w:ascii="Century Gothic" w:hAnsi="Century Gothic" w:cs="Arial"/>
          <w:b/>
          <w:sz w:val="20"/>
        </w:rPr>
      </w:pPr>
    </w:p>
    <w:p w14:paraId="004B83E7" w14:textId="77777777" w:rsidR="00324EA8" w:rsidRDefault="00324EA8" w:rsidP="00102680">
      <w:pPr>
        <w:tabs>
          <w:tab w:val="left" w:pos="709"/>
        </w:tabs>
        <w:jc w:val="center"/>
        <w:rPr>
          <w:rFonts w:ascii="Century Gothic" w:hAnsi="Century Gothic" w:cs="Arial"/>
          <w:b/>
          <w:sz w:val="20"/>
        </w:rPr>
      </w:pPr>
    </w:p>
    <w:p w14:paraId="54A20A5A" w14:textId="3D9F9283" w:rsidR="00753848" w:rsidRPr="002F590F" w:rsidRDefault="00753848" w:rsidP="00753848">
      <w:pPr>
        <w:ind w:right="735"/>
        <w:rPr>
          <w:rFonts w:ascii="Century Gothic" w:hAnsi="Century Gothic" w:cs="Arial"/>
          <w:b/>
          <w:bCs/>
          <w:sz w:val="20"/>
          <w:szCs w:val="20"/>
        </w:rPr>
      </w:pPr>
      <w:r w:rsidRPr="002F590F">
        <w:rPr>
          <w:rFonts w:ascii="Century Gothic" w:hAnsi="Century Gothic"/>
          <w:sz w:val="20"/>
          <w:szCs w:val="20"/>
        </w:rPr>
        <w:t xml:space="preserve">                                             </w:t>
      </w:r>
      <w:r w:rsidRPr="002F590F">
        <w:rPr>
          <w:rFonts w:ascii="Century Gothic" w:hAnsi="Century Gothic" w:cs="Arial"/>
          <w:b/>
          <w:bCs/>
          <w:sz w:val="20"/>
          <w:szCs w:val="20"/>
        </w:rPr>
        <w:t xml:space="preserve">MTRA. ANA MARGARITA MONTOYA ROMERO </w:t>
      </w:r>
    </w:p>
    <w:p w14:paraId="667178AE" w14:textId="653AE69A" w:rsidR="00753848" w:rsidRPr="002F590F" w:rsidRDefault="00753848" w:rsidP="00753848">
      <w:pPr>
        <w:ind w:left="709" w:right="735"/>
        <w:jc w:val="center"/>
        <w:rPr>
          <w:rFonts w:ascii="Century Gothic" w:hAnsi="Century Gothic" w:cs="Arial"/>
          <w:b/>
          <w:bCs/>
          <w:sz w:val="20"/>
          <w:szCs w:val="20"/>
        </w:rPr>
      </w:pPr>
      <w:r w:rsidRPr="002F590F">
        <w:rPr>
          <w:rFonts w:ascii="Century Gothic" w:hAnsi="Century Gothic" w:cs="Arial"/>
          <w:b/>
          <w:bCs/>
          <w:sz w:val="20"/>
          <w:szCs w:val="20"/>
        </w:rPr>
        <w:t>DIRECTORA DE INGRESOS</w:t>
      </w:r>
    </w:p>
    <w:p w14:paraId="359A43AC" w14:textId="7A22F4B3" w:rsidR="00102680" w:rsidRPr="002F590F" w:rsidRDefault="00102680" w:rsidP="00102680">
      <w:pPr>
        <w:rPr>
          <w:rFonts w:ascii="Century Gothic" w:hAnsi="Century Gothic"/>
          <w:sz w:val="16"/>
        </w:rPr>
      </w:pPr>
      <w:r w:rsidRPr="002F590F">
        <w:rPr>
          <w:rFonts w:ascii="Century Gothic" w:hAnsi="Century Gothic"/>
          <w:sz w:val="16"/>
        </w:rPr>
        <w:t>AMMR/</w:t>
      </w:r>
      <w:proofErr w:type="spellStart"/>
      <w:r w:rsidRPr="002F590F">
        <w:rPr>
          <w:rFonts w:ascii="Century Gothic" w:hAnsi="Century Gothic"/>
          <w:sz w:val="16"/>
        </w:rPr>
        <w:t>blpj</w:t>
      </w:r>
      <w:proofErr w:type="spellEnd"/>
    </w:p>
    <w:p w14:paraId="7BF6F4F2" w14:textId="051168CD" w:rsidR="00A964D5" w:rsidRPr="002F590F" w:rsidRDefault="00102680" w:rsidP="00324EA8">
      <w:pPr>
        <w:rPr>
          <w:rFonts w:ascii="Century Gothic" w:hAnsi="Century Gothic"/>
        </w:rPr>
      </w:pPr>
      <w:proofErr w:type="spellStart"/>
      <w:r w:rsidRPr="002F590F">
        <w:rPr>
          <w:rFonts w:ascii="Century Gothic" w:hAnsi="Century Gothic"/>
          <w:sz w:val="16"/>
        </w:rPr>
        <w:t>C.c.p</w:t>
      </w:r>
      <w:proofErr w:type="spellEnd"/>
      <w:r w:rsidRPr="002F590F">
        <w:rPr>
          <w:rFonts w:ascii="Century Gothic" w:hAnsi="Century Gothic"/>
          <w:sz w:val="16"/>
        </w:rPr>
        <w:t>. ARCHIVO</w:t>
      </w:r>
    </w:p>
    <w:sectPr w:rsidR="00A964D5" w:rsidRPr="002F590F" w:rsidSect="005B0788">
      <w:headerReference w:type="even" r:id="rId12"/>
      <w:headerReference w:type="default" r:id="rId13"/>
      <w:footerReference w:type="default" r:id="rId14"/>
      <w:head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58AFB" w14:textId="77777777" w:rsidR="00546214" w:rsidRDefault="00546214" w:rsidP="00A964D5">
      <w:r>
        <w:separator/>
      </w:r>
    </w:p>
  </w:endnote>
  <w:endnote w:type="continuationSeparator" w:id="0">
    <w:p w14:paraId="363FD2C0" w14:textId="77777777" w:rsidR="00546214" w:rsidRDefault="00546214"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5A7E9" w14:textId="5B6B6601" w:rsidR="00A964D5" w:rsidRDefault="00000000">
    <w:pPr>
      <w:pStyle w:val="Piedepgina"/>
    </w:pPr>
    <w:r>
      <w:rPr>
        <w:noProof/>
      </w:rPr>
      <w:pict w14:anchorId="5C4E6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85.25pt;margin-top:601.9pt;width:612.35pt;height:118.65pt;z-index:-251649024;mso-wrap-edited:f;mso-width-percent:0;mso-position-horizontal-relative:margin;mso-position-vertical-relative:margin;mso-width-percent:0" o:allowincell="f">
          <v:imagedata r:id="rId1" o:title="Hoja membretada" croptop="55722f"/>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1E45F" w14:textId="77777777" w:rsidR="00546214" w:rsidRDefault="00546214" w:rsidP="00A964D5">
      <w:r>
        <w:separator/>
      </w:r>
    </w:p>
  </w:footnote>
  <w:footnote w:type="continuationSeparator" w:id="0">
    <w:p w14:paraId="7C0ED21B" w14:textId="77777777" w:rsidR="00546214" w:rsidRDefault="00546214" w:rsidP="00A96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6B191" w14:textId="77777777" w:rsidR="00A964D5" w:rsidRDefault="00000000">
    <w:pPr>
      <w:pStyle w:val="Encabezado"/>
    </w:pPr>
    <w:r>
      <w:rPr>
        <w:noProof/>
      </w:rPr>
      <w:pict w14:anchorId="094FF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1027"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774D0" w14:textId="78A95E6E" w:rsidR="005468FD" w:rsidRDefault="00000000">
    <w:pPr>
      <w:pStyle w:val="Encabezado"/>
    </w:pPr>
    <w:r>
      <w:rPr>
        <w:noProof/>
      </w:rPr>
      <w:pict w14:anchorId="5C4E6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1026" type="#_x0000_t75" alt="" style="position:absolute;margin-left:46.9pt;margin-top:-83.5pt;width:302.4pt;height:111.35pt;z-index:-251650048;mso-wrap-edited:f;mso-position-horizontal-relative:margin;mso-position-vertical-relative:margin" o:allowincell="f">
          <v:imagedata r:id="rId1" o:title="Hoja membretada" croptop="-124f" cropbottom="56947f" cropleft="16776f" cropright="18141f"/>
          <w10:wrap anchorx="margin" anchory="margin"/>
        </v:shape>
      </w:pict>
    </w:r>
  </w:p>
  <w:p w14:paraId="2AE69637" w14:textId="0AB75B44" w:rsidR="005468FD" w:rsidRDefault="005468FD">
    <w:pPr>
      <w:pStyle w:val="Encabezado"/>
    </w:pPr>
  </w:p>
  <w:p w14:paraId="66D04491" w14:textId="77777777" w:rsidR="005468FD" w:rsidRDefault="005468FD">
    <w:pPr>
      <w:pStyle w:val="Encabezado"/>
    </w:pPr>
  </w:p>
  <w:p w14:paraId="1F3460DC" w14:textId="44425A90" w:rsidR="00A964D5" w:rsidRDefault="00394C9A">
    <w:pPr>
      <w:pStyle w:val="Encabezado"/>
    </w:pPr>
    <w:r>
      <w:rPr>
        <w:noProof/>
      </w:rPr>
      <w:drawing>
        <wp:anchor distT="0" distB="0" distL="114300" distR="114300" simplePos="0" relativeHeight="251671552" behindDoc="1" locked="0" layoutInCell="1" allowOverlap="1" wp14:anchorId="034A6DC8" wp14:editId="4634C84F">
          <wp:simplePos x="0" y="0"/>
          <wp:positionH relativeFrom="margin">
            <wp:align>center</wp:align>
          </wp:positionH>
          <wp:positionV relativeFrom="paragraph">
            <wp:posOffset>2437765</wp:posOffset>
          </wp:positionV>
          <wp:extent cx="4293870" cy="4281805"/>
          <wp:effectExtent l="0" t="0" r="0" b="4445"/>
          <wp:wrapNone/>
          <wp:docPr id="1871612097" name="Imagen 1871612097" descr="pi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pie-01"/>
                  <pic:cNvPicPr>
                    <a:picLocks noChangeAspect="1" noChangeArrowheads="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2AF72" w14:textId="77777777" w:rsidR="00A964D5" w:rsidRDefault="00000000">
    <w:pPr>
      <w:pStyle w:val="Encabezado"/>
    </w:pPr>
    <w:r>
      <w:rPr>
        <w:noProof/>
      </w:rPr>
      <w:pict w14:anchorId="45DBF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1025"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25E"/>
    <w:multiLevelType w:val="hybridMultilevel"/>
    <w:tmpl w:val="F0A80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F66FDB"/>
    <w:multiLevelType w:val="hybridMultilevel"/>
    <w:tmpl w:val="042AF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FD73151"/>
    <w:multiLevelType w:val="hybridMultilevel"/>
    <w:tmpl w:val="5D3AD7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1538622">
    <w:abstractNumId w:val="2"/>
  </w:num>
  <w:num w:numId="2" w16cid:durableId="1325552023">
    <w:abstractNumId w:val="0"/>
  </w:num>
  <w:num w:numId="3" w16cid:durableId="125327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D5"/>
    <w:rsid w:val="0002378D"/>
    <w:rsid w:val="00037E1A"/>
    <w:rsid w:val="00102680"/>
    <w:rsid w:val="002F590F"/>
    <w:rsid w:val="00324EA8"/>
    <w:rsid w:val="00394C9A"/>
    <w:rsid w:val="003A3D8B"/>
    <w:rsid w:val="003C7E77"/>
    <w:rsid w:val="003D5181"/>
    <w:rsid w:val="005025A3"/>
    <w:rsid w:val="00516399"/>
    <w:rsid w:val="00517844"/>
    <w:rsid w:val="00535318"/>
    <w:rsid w:val="00546214"/>
    <w:rsid w:val="005468FD"/>
    <w:rsid w:val="005B0788"/>
    <w:rsid w:val="005D70DB"/>
    <w:rsid w:val="005F1D0F"/>
    <w:rsid w:val="00626595"/>
    <w:rsid w:val="0070070D"/>
    <w:rsid w:val="00732BBA"/>
    <w:rsid w:val="00753848"/>
    <w:rsid w:val="007E2CD9"/>
    <w:rsid w:val="008559BE"/>
    <w:rsid w:val="0087546E"/>
    <w:rsid w:val="00923192"/>
    <w:rsid w:val="00952DC7"/>
    <w:rsid w:val="009D4B27"/>
    <w:rsid w:val="00A00E2F"/>
    <w:rsid w:val="00A25049"/>
    <w:rsid w:val="00A4059A"/>
    <w:rsid w:val="00A52244"/>
    <w:rsid w:val="00A964D5"/>
    <w:rsid w:val="00BA138C"/>
    <w:rsid w:val="00BD4398"/>
    <w:rsid w:val="00C20B13"/>
    <w:rsid w:val="00C400F4"/>
    <w:rsid w:val="00CB49C6"/>
    <w:rsid w:val="00CD736D"/>
    <w:rsid w:val="00D82993"/>
    <w:rsid w:val="00DF2B81"/>
    <w:rsid w:val="00E57658"/>
    <w:rsid w:val="00E76A4A"/>
    <w:rsid w:val="00EA3610"/>
    <w:rsid w:val="00F63FC6"/>
    <w:rsid w:val="00F71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A55AB"/>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character" w:styleId="Hipervnculo">
    <w:name w:val="Hyperlink"/>
    <w:basedOn w:val="Fuentedeprrafopredeter"/>
    <w:uiPriority w:val="99"/>
    <w:unhideWhenUsed/>
    <w:rsid w:val="00102680"/>
    <w:rPr>
      <w:color w:val="0563C1" w:themeColor="hyperlink"/>
      <w:u w:val="single"/>
    </w:rPr>
  </w:style>
  <w:style w:type="paragraph" w:styleId="Prrafodelista">
    <w:name w:val="List Paragraph"/>
    <w:basedOn w:val="Normal"/>
    <w:uiPriority w:val="34"/>
    <w:qFormat/>
    <w:rsid w:val="00102680"/>
    <w:pPr>
      <w:ind w:left="720"/>
      <w:contextualSpacing/>
    </w:pPr>
    <w:rPr>
      <w:rFonts w:eastAsiaTheme="minorEastAsia"/>
      <w:kern w:val="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udadguzman.gob.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udadguzman.gob.mx/Pagina.aspx?id=651306b7-3deb-4876-9723-7153ce60182b"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lataformadetransparencia.org.mx/" TargetMode="External"/><Relationship Id="rId4" Type="http://schemas.openxmlformats.org/officeDocument/2006/relationships/settings" Target="settings.xml"/><Relationship Id="rId9" Type="http://schemas.openxmlformats.org/officeDocument/2006/relationships/hyperlink" Target="mailto:transparencia@ciudadguzman.gob.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9F234-9071-4B94-8FED-A32872BB9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1182</Words>
  <Characters>6502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Génesis Adonai Zepeda Urzúa</cp:lastModifiedBy>
  <cp:revision>4</cp:revision>
  <cp:lastPrinted>2024-10-15T18:19:00Z</cp:lastPrinted>
  <dcterms:created xsi:type="dcterms:W3CDTF">2024-10-28T18:26:00Z</dcterms:created>
  <dcterms:modified xsi:type="dcterms:W3CDTF">2025-01-08T17:42:00Z</dcterms:modified>
</cp:coreProperties>
</file>